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color w:val="000000" w:themeColor="text1"/>
          <w:sz w:val="32"/>
          <w14:textFill>
            <w14:solidFill>
              <w14:schemeClr w14:val="tx1"/>
            </w14:solidFill>
          </w14:textFill>
        </w:rPr>
      </w:pPr>
    </w:p>
    <w:p>
      <w:pPr>
        <w:spacing w:line="600" w:lineRule="exact"/>
        <w:rPr>
          <w:color w:val="000000" w:themeColor="text1"/>
          <w:sz w:val="32"/>
          <w14:textFill>
            <w14:solidFill>
              <w14:schemeClr w14:val="tx1"/>
            </w14:solidFill>
          </w14:textFill>
        </w:rPr>
      </w:pPr>
    </w:p>
    <w:p>
      <w:pPr>
        <w:spacing w:line="600" w:lineRule="exact"/>
        <w:rPr>
          <w:color w:val="000000" w:themeColor="text1"/>
          <w:sz w:val="32"/>
          <w14:textFill>
            <w14:solidFill>
              <w14:schemeClr w14:val="tx1"/>
            </w14:solidFill>
          </w14:textFill>
        </w:rPr>
      </w:pPr>
    </w:p>
    <w:p>
      <w:pPr>
        <w:spacing w:line="600" w:lineRule="exact"/>
        <w:rPr>
          <w:color w:val="000000" w:themeColor="text1"/>
          <w:sz w:val="32"/>
          <w14:textFill>
            <w14:solidFill>
              <w14:schemeClr w14:val="tx1"/>
            </w14:solidFill>
          </w14:textFill>
        </w:rPr>
      </w:pPr>
    </w:p>
    <w:p>
      <w:pPr>
        <w:spacing w:line="700" w:lineRule="atLeast"/>
        <w:jc w:val="center"/>
        <w:rPr>
          <w:color w:val="000000" w:themeColor="text1"/>
          <w14:textFill>
            <w14:solidFill>
              <w14:schemeClr w14:val="tx1"/>
            </w14:solidFill>
          </w14:textFill>
        </w:rPr>
      </w:pPr>
    </w:p>
    <w:p>
      <w:pPr>
        <w:spacing w:line="360" w:lineRule="auto"/>
        <w:ind w:left="424" w:leftChars="202"/>
        <w:jc w:val="center"/>
        <w:rPr>
          <w:rFonts w:ascii="黑体" w:hAnsi="宋体" w:eastAsia="黑体"/>
          <w:b/>
          <w:bCs/>
          <w:color w:val="000000" w:themeColor="text1"/>
          <w:sz w:val="52"/>
          <w:szCs w:val="52"/>
          <w14:textFill>
            <w14:solidFill>
              <w14:schemeClr w14:val="tx1"/>
            </w14:solidFill>
          </w14:textFill>
        </w:rPr>
      </w:pPr>
      <w:r>
        <w:rPr>
          <w:rFonts w:hint="eastAsia" w:ascii="黑体" w:hAnsi="宋体" w:eastAsia="黑体"/>
          <w:b/>
          <w:bCs/>
          <w:color w:val="000000" w:themeColor="text1"/>
          <w:sz w:val="52"/>
          <w:szCs w:val="52"/>
          <w14:textFill>
            <w14:solidFill>
              <w14:schemeClr w14:val="tx1"/>
            </w14:solidFill>
          </w14:textFill>
        </w:rPr>
        <w:t>云南省大理州弥渡县弥城中学建设项目</w:t>
      </w:r>
    </w:p>
    <w:p>
      <w:pPr>
        <w:spacing w:line="360" w:lineRule="auto"/>
        <w:ind w:left="424" w:leftChars="202"/>
        <w:jc w:val="center"/>
        <w:rPr>
          <w:rFonts w:ascii="黑体" w:hAnsi="宋体" w:eastAsia="黑体"/>
          <w:b/>
          <w:bCs/>
          <w:color w:val="000000" w:themeColor="text1"/>
          <w:sz w:val="52"/>
          <w:szCs w:val="52"/>
          <w14:textFill>
            <w14:solidFill>
              <w14:schemeClr w14:val="tx1"/>
            </w14:solidFill>
          </w14:textFill>
        </w:rPr>
      </w:pPr>
      <w:r>
        <w:rPr>
          <w:rFonts w:hint="eastAsia" w:ascii="黑体" w:hAnsi="宋体" w:eastAsia="黑体"/>
          <w:b/>
          <w:bCs/>
          <w:color w:val="000000" w:themeColor="text1"/>
          <w:sz w:val="52"/>
          <w:szCs w:val="52"/>
          <w14:textFill>
            <w14:solidFill>
              <w14:schemeClr w14:val="tx1"/>
            </w14:solidFill>
          </w14:textFill>
        </w:rPr>
        <w:t>方案设计说明书</w:t>
      </w:r>
    </w:p>
    <w:p>
      <w:pPr>
        <w:spacing w:line="600" w:lineRule="exact"/>
        <w:rPr>
          <w:color w:val="000000" w:themeColor="text1"/>
          <w:sz w:val="32"/>
          <w14:textFill>
            <w14:solidFill>
              <w14:schemeClr w14:val="tx1"/>
            </w14:solidFill>
          </w14:textFill>
        </w:rPr>
      </w:pPr>
    </w:p>
    <w:p>
      <w:pPr>
        <w:spacing w:line="600" w:lineRule="exact"/>
        <w:rPr>
          <w:color w:val="000000" w:themeColor="text1"/>
          <w:sz w:val="32"/>
          <w14:textFill>
            <w14:solidFill>
              <w14:schemeClr w14:val="tx1"/>
            </w14:solidFill>
          </w14:textFill>
        </w:rPr>
      </w:pPr>
    </w:p>
    <w:p>
      <w:pPr>
        <w:spacing w:line="600" w:lineRule="exact"/>
        <w:rPr>
          <w:color w:val="000000" w:themeColor="text1"/>
          <w:sz w:val="32"/>
          <w14:textFill>
            <w14:solidFill>
              <w14:schemeClr w14:val="tx1"/>
            </w14:solidFill>
          </w14:textFill>
        </w:rPr>
      </w:pPr>
    </w:p>
    <w:p>
      <w:pPr>
        <w:spacing w:line="600" w:lineRule="exact"/>
        <w:rPr>
          <w:color w:val="000000" w:themeColor="text1"/>
          <w:sz w:val="32"/>
          <w14:textFill>
            <w14:solidFill>
              <w14:schemeClr w14:val="tx1"/>
            </w14:solidFill>
          </w14:textFill>
        </w:rPr>
      </w:pPr>
    </w:p>
    <w:p>
      <w:pPr>
        <w:spacing w:line="600" w:lineRule="exact"/>
        <w:rPr>
          <w:color w:val="000000" w:themeColor="text1"/>
          <w:sz w:val="32"/>
          <w14:textFill>
            <w14:solidFill>
              <w14:schemeClr w14:val="tx1"/>
            </w14:solidFill>
          </w14:textFill>
        </w:rPr>
      </w:pPr>
    </w:p>
    <w:p>
      <w:pPr>
        <w:spacing w:line="600" w:lineRule="exact"/>
        <w:rPr>
          <w:color w:val="000000" w:themeColor="text1"/>
          <w:sz w:val="32"/>
          <w14:textFill>
            <w14:solidFill>
              <w14:schemeClr w14:val="tx1"/>
            </w14:solidFill>
          </w14:textFill>
        </w:rPr>
      </w:pPr>
    </w:p>
    <w:p>
      <w:pPr>
        <w:spacing w:line="600" w:lineRule="exact"/>
        <w:jc w:val="center"/>
        <w:rPr>
          <w:rFonts w:ascii="黑体" w:eastAsia="黑体"/>
          <w:color w:val="000000" w:themeColor="text1"/>
          <w:sz w:val="36"/>
          <w:szCs w:val="36"/>
          <w14:textFill>
            <w14:solidFill>
              <w14:schemeClr w14:val="tx1"/>
            </w14:solidFill>
          </w14:textFill>
        </w:rPr>
      </w:pPr>
      <w:r>
        <w:rPr>
          <w:rFonts w:hint="eastAsia" w:ascii="黑体" w:eastAsia="黑体"/>
          <w:color w:val="000000" w:themeColor="text1"/>
          <w:sz w:val="36"/>
          <w:szCs w:val="36"/>
          <w14:textFill>
            <w14:solidFill>
              <w14:schemeClr w14:val="tx1"/>
            </w14:solidFill>
          </w14:textFill>
        </w:rPr>
        <w:t>二O二二年</w:t>
      </w:r>
      <w:r>
        <w:rPr>
          <w:rFonts w:hint="eastAsia" w:ascii="黑体" w:eastAsia="黑体"/>
          <w:color w:val="000000" w:themeColor="text1"/>
          <w:sz w:val="36"/>
          <w:szCs w:val="36"/>
          <w:lang w:val="en-US" w:eastAsia="zh-CN"/>
          <w14:textFill>
            <w14:solidFill>
              <w14:schemeClr w14:val="tx1"/>
            </w14:solidFill>
          </w14:textFill>
        </w:rPr>
        <w:t>七</w:t>
      </w:r>
      <w:r>
        <w:rPr>
          <w:rFonts w:hint="eastAsia" w:ascii="黑体" w:eastAsia="黑体"/>
          <w:color w:val="000000" w:themeColor="text1"/>
          <w:sz w:val="36"/>
          <w:szCs w:val="36"/>
          <w14:textFill>
            <w14:solidFill>
              <w14:schemeClr w14:val="tx1"/>
            </w14:solidFill>
          </w14:textFill>
        </w:rPr>
        <w:t>月</w:t>
      </w:r>
    </w:p>
    <w:p>
      <w:pPr>
        <w:spacing w:line="600" w:lineRule="exact"/>
        <w:jc w:val="center"/>
        <w:rPr>
          <w:rFonts w:ascii="黑体" w:eastAsia="黑体"/>
          <w:color w:val="000000" w:themeColor="text1"/>
          <w:sz w:val="36"/>
          <w:szCs w:val="36"/>
          <w14:textFill>
            <w14:solidFill>
              <w14:schemeClr w14:val="tx1"/>
            </w14:solidFill>
          </w14:textFill>
        </w:rPr>
      </w:pPr>
    </w:p>
    <w:p>
      <w:pPr>
        <w:spacing w:line="600" w:lineRule="exact"/>
        <w:jc w:val="center"/>
        <w:rPr>
          <w:rFonts w:ascii="黑体" w:eastAsia="黑体"/>
          <w:color w:val="000000" w:themeColor="text1"/>
          <w:sz w:val="36"/>
          <w:szCs w:val="36"/>
          <w14:textFill>
            <w14:solidFill>
              <w14:schemeClr w14:val="tx1"/>
            </w14:solidFill>
          </w14:textFill>
        </w:rPr>
      </w:pPr>
    </w:p>
    <w:p>
      <w:pPr>
        <w:spacing w:line="600" w:lineRule="exact"/>
        <w:rPr>
          <w:rFonts w:ascii="黑体" w:eastAsia="黑体"/>
          <w:color w:val="000000" w:themeColor="text1"/>
          <w:sz w:val="36"/>
          <w:szCs w:val="36"/>
          <w14:textFill>
            <w14:solidFill>
              <w14:schemeClr w14:val="tx1"/>
            </w14:solidFill>
          </w14:textFill>
        </w:rPr>
        <w:sectPr>
          <w:headerReference r:id="rId3" w:type="default"/>
          <w:footerReference r:id="rId5" w:type="default"/>
          <w:headerReference r:id="rId4" w:type="even"/>
          <w:footerReference r:id="rId6" w:type="even"/>
          <w:pgSz w:w="23814" w:h="16840" w:orient="landscape"/>
          <w:pgMar w:top="1797" w:right="1440" w:bottom="1797" w:left="1440" w:header="851" w:footer="992" w:gutter="0"/>
          <w:cols w:space="425" w:num="1"/>
          <w:docGrid w:type="lines" w:linePitch="312" w:charSpace="0"/>
        </w:sectPr>
      </w:pPr>
    </w:p>
    <w:p>
      <w:pPr>
        <w:rPr>
          <w:rFonts w:ascii="宋体" w:hAnsi="宋体"/>
          <w:color w:val="000000" w:themeColor="text1"/>
          <w:sz w:val="28"/>
          <w:szCs w:val="28"/>
          <w14:textFill>
            <w14:solidFill>
              <w14:schemeClr w14:val="tx1"/>
            </w14:solidFill>
          </w14:textFill>
        </w:rPr>
        <w:sectPr>
          <w:headerReference r:id="rId9" w:type="first"/>
          <w:headerReference r:id="rId7" w:type="default"/>
          <w:footerReference r:id="rId10" w:type="default"/>
          <w:headerReference r:id="rId8" w:type="even"/>
          <w:type w:val="continuous"/>
          <w:pgSz w:w="23814" w:h="16840" w:orient="landscape"/>
          <w:pgMar w:top="1797" w:right="1440" w:bottom="1797" w:left="1440" w:header="851" w:footer="992" w:gutter="0"/>
          <w:cols w:space="425" w:num="2"/>
          <w:docGrid w:type="lines" w:linePitch="312" w:charSpace="0"/>
        </w:sectPr>
      </w:pPr>
      <w:r>
        <w:rPr>
          <w:rFonts w:ascii="宋体"/>
          <w:b/>
          <w:bCs/>
          <w:color w:val="000000" w:themeColor="text1"/>
          <w:sz w:val="32"/>
          <w14:textFill>
            <w14:solidFill>
              <w14:schemeClr w14:val="tx1"/>
            </w14:solidFill>
          </w14:textFill>
        </w:rPr>
        <w:br w:type="page"/>
      </w:r>
    </w:p>
    <w:p>
      <w:pPr>
        <w:pStyle w:val="56"/>
        <w:tabs>
          <w:tab w:val="right" w:leader="dot" w:pos="10254"/>
        </w:tabs>
        <w:ind w:left="420"/>
        <w:rPr>
          <w:rFonts w:ascii="宋体" w:hAnsi="宋体"/>
          <w:color w:val="000000" w:themeColor="text1"/>
          <w:sz w:val="24"/>
          <w:szCs w:val="24"/>
          <w14:textFill>
            <w14:solidFill>
              <w14:schemeClr w14:val="tx1"/>
            </w14:solidFill>
          </w14:textFill>
        </w:rPr>
      </w:pPr>
    </w:p>
    <w:sdt>
      <w:sdtPr>
        <w:rPr>
          <w:rFonts w:ascii="宋体" w:hAnsi="宋体"/>
          <w:color w:val="000000" w:themeColor="text1"/>
          <w:szCs w:val="21"/>
          <w14:textFill>
            <w14:solidFill>
              <w14:schemeClr w14:val="tx1"/>
            </w14:solidFill>
          </w14:textFill>
        </w:rPr>
        <w:id w:val="147468886"/>
        <w:docPartObj>
          <w:docPartGallery w:val="Table of Contents"/>
          <w:docPartUnique/>
        </w:docPartObj>
      </w:sdtPr>
      <w:sdtEndPr>
        <w:rPr>
          <w:rFonts w:ascii="Times New Roman" w:hAnsi="Times New Roman"/>
          <w:color w:val="000000" w:themeColor="text1"/>
          <w:szCs w:val="24"/>
          <w14:textFill>
            <w14:solidFill>
              <w14:schemeClr w14:val="tx1"/>
            </w14:solidFill>
          </w14:textFill>
        </w:rPr>
      </w:sdtEndPr>
      <w:sdtContent>
        <w:p>
          <w:pPr>
            <w:jc w:val="center"/>
            <w:rPr>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目录</w:t>
          </w:r>
        </w:p>
        <w:p>
          <w:pPr>
            <w:pStyle w:val="16"/>
            <w:tabs>
              <w:tab w:val="right" w:leader="dot" w:pos="10254"/>
            </w:tabs>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TOC \o "1-3" \h \u </w:instrText>
          </w:r>
          <w:r>
            <w:rPr>
              <w:color w:val="000000" w:themeColor="text1"/>
              <w:szCs w:val="21"/>
              <w14:textFill>
                <w14:solidFill>
                  <w14:schemeClr w14:val="tx1"/>
                </w14:solidFill>
              </w14:textFill>
            </w:rPr>
            <w:fldChar w:fldCharType="separate"/>
          </w: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_Toc29060 </w:instrText>
          </w:r>
          <w:r>
            <w:rPr>
              <w:color w:val="000000" w:themeColor="text1"/>
              <w:szCs w:val="21"/>
              <w14:textFill>
                <w14:solidFill>
                  <w14:schemeClr w14:val="tx1"/>
                </w14:solidFill>
              </w14:textFill>
            </w:rPr>
            <w:fldChar w:fldCharType="separate"/>
          </w:r>
          <w:r>
            <w:rPr>
              <w:rFonts w:hint="eastAsia"/>
              <w:color w:val="000000" w:themeColor="text1"/>
              <w14:textFill>
                <w14:solidFill>
                  <w14:schemeClr w14:val="tx1"/>
                </w14:solidFill>
              </w14:textFill>
            </w:rPr>
            <w:t>第一章  规划设计依据</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_Toc29060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6"/>
            <w:tabs>
              <w:tab w:val="right" w:leader="dot" w:pos="10254"/>
            </w:tabs>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_Toc20159 </w:instrText>
          </w:r>
          <w:r>
            <w:rPr>
              <w:color w:val="000000" w:themeColor="text1"/>
              <w:szCs w:val="21"/>
              <w14:textFill>
                <w14:solidFill>
                  <w14:schemeClr w14:val="tx1"/>
                </w14:solidFill>
              </w14:textFill>
            </w:rPr>
            <w:fldChar w:fldCharType="separate"/>
          </w:r>
          <w:r>
            <w:rPr>
              <w:rFonts w:hint="eastAsia"/>
              <w:color w:val="000000" w:themeColor="text1"/>
              <w14:textFill>
                <w14:solidFill>
                  <w14:schemeClr w14:val="tx1"/>
                </w14:solidFill>
              </w14:textFill>
            </w:rPr>
            <w:t>第二章  概况背景</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_Toc20159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9"/>
            <w:tabs>
              <w:tab w:val="right" w:leader="dot" w:pos="10254"/>
            </w:tabs>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_Toc10132 </w:instrText>
          </w:r>
          <w:r>
            <w:rPr>
              <w:color w:val="000000" w:themeColor="text1"/>
              <w:szCs w:val="21"/>
              <w14:textFill>
                <w14:solidFill>
                  <w14:schemeClr w14:val="tx1"/>
                </w14:solidFill>
              </w14:textFill>
            </w:rPr>
            <w:fldChar w:fldCharType="separate"/>
          </w:r>
          <w:r>
            <w:rPr>
              <w:rFonts w:hint="eastAsia"/>
              <w:color w:val="000000" w:themeColor="text1"/>
              <w14:textFill>
                <w14:solidFill>
                  <w14:schemeClr w14:val="tx1"/>
                </w14:solidFill>
              </w14:textFill>
            </w:rPr>
            <w:t>2.1 项目背景及概况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_Toc10132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9"/>
            <w:tabs>
              <w:tab w:val="right" w:leader="dot" w:pos="10254"/>
            </w:tabs>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_Toc31478 </w:instrText>
          </w:r>
          <w:r>
            <w:rPr>
              <w:color w:val="000000" w:themeColor="text1"/>
              <w:szCs w:val="21"/>
              <w14:textFill>
                <w14:solidFill>
                  <w14:schemeClr w14:val="tx1"/>
                </w14:solidFill>
              </w14:textFill>
            </w:rPr>
            <w:fldChar w:fldCharType="separate"/>
          </w:r>
          <w:r>
            <w:rPr>
              <w:rFonts w:hint="eastAsia"/>
              <w:color w:val="000000" w:themeColor="text1"/>
              <w14:textFill>
                <w14:solidFill>
                  <w14:schemeClr w14:val="tx1"/>
                </w14:solidFill>
              </w14:textFill>
            </w:rPr>
            <w:t>2.2 区域位置</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_Toc31478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9"/>
            <w:tabs>
              <w:tab w:val="right" w:leader="dot" w:pos="10254"/>
            </w:tabs>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_Toc6365 </w:instrText>
          </w:r>
          <w:r>
            <w:rPr>
              <w:color w:val="000000" w:themeColor="text1"/>
              <w:szCs w:val="21"/>
              <w14:textFill>
                <w14:solidFill>
                  <w14:schemeClr w14:val="tx1"/>
                </w14:solidFill>
              </w14:textFill>
            </w:rPr>
            <w:fldChar w:fldCharType="separate"/>
          </w:r>
          <w:r>
            <w:rPr>
              <w:rFonts w:hint="eastAsia"/>
              <w:color w:val="000000" w:themeColor="text1"/>
              <w14:textFill>
                <w14:solidFill>
                  <w14:schemeClr w14:val="tx1"/>
                </w14:solidFill>
              </w14:textFill>
            </w:rPr>
            <w:t>2.3 地理气候与历史人文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_Toc6365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6"/>
            <w:tabs>
              <w:tab w:val="right" w:leader="dot" w:pos="10254"/>
            </w:tabs>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_Toc8686 </w:instrText>
          </w:r>
          <w:r>
            <w:rPr>
              <w:color w:val="000000" w:themeColor="text1"/>
              <w:szCs w:val="21"/>
              <w14:textFill>
                <w14:solidFill>
                  <w14:schemeClr w14:val="tx1"/>
                </w14:solidFill>
              </w14:textFill>
            </w:rPr>
            <w:fldChar w:fldCharType="separate"/>
          </w:r>
          <w:r>
            <w:rPr>
              <w:rFonts w:hint="eastAsia"/>
              <w:color w:val="000000" w:themeColor="text1"/>
              <w14:textFill>
                <w14:solidFill>
                  <w14:schemeClr w14:val="tx1"/>
                </w14:solidFill>
              </w14:textFill>
            </w:rPr>
            <w:t>第三章  目标理念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_Toc8686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9"/>
            <w:tabs>
              <w:tab w:val="right" w:leader="dot" w:pos="10254"/>
            </w:tabs>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_Toc7577 </w:instrText>
          </w:r>
          <w:r>
            <w:rPr>
              <w:color w:val="000000" w:themeColor="text1"/>
              <w:szCs w:val="21"/>
              <w14:textFill>
                <w14:solidFill>
                  <w14:schemeClr w14:val="tx1"/>
                </w14:solidFill>
              </w14:textFill>
            </w:rPr>
            <w:fldChar w:fldCharType="separate"/>
          </w:r>
          <w:r>
            <w:rPr>
              <w:rFonts w:hint="eastAsia"/>
              <w:color w:val="000000" w:themeColor="text1"/>
              <w14:textFill>
                <w14:solidFill>
                  <w14:schemeClr w14:val="tx1"/>
                </w14:solidFill>
              </w14:textFill>
            </w:rPr>
            <w:t>3.1 总体构思</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_Toc7577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9"/>
            <w:tabs>
              <w:tab w:val="right" w:leader="dot" w:pos="10254"/>
            </w:tabs>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_Toc26735 </w:instrText>
          </w:r>
          <w:r>
            <w:rPr>
              <w:color w:val="000000" w:themeColor="text1"/>
              <w:szCs w:val="21"/>
              <w14:textFill>
                <w14:solidFill>
                  <w14:schemeClr w14:val="tx1"/>
                </w14:solidFill>
              </w14:textFill>
            </w:rPr>
            <w:fldChar w:fldCharType="separate"/>
          </w:r>
          <w:r>
            <w:rPr>
              <w:rFonts w:hint="eastAsia"/>
              <w:color w:val="000000" w:themeColor="text1"/>
              <w14:textFill>
                <w14:solidFill>
                  <w14:schemeClr w14:val="tx1"/>
                </w14:solidFill>
              </w14:textFill>
            </w:rPr>
            <w:t>3.2 设计思路</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_Toc26735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9"/>
            <w:tabs>
              <w:tab w:val="right" w:leader="dot" w:pos="10254"/>
            </w:tabs>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_Toc1818 </w:instrText>
          </w:r>
          <w:r>
            <w:rPr>
              <w:color w:val="000000" w:themeColor="text1"/>
              <w:szCs w:val="21"/>
              <w14:textFill>
                <w14:solidFill>
                  <w14:schemeClr w14:val="tx1"/>
                </w14:solidFill>
              </w14:textFill>
            </w:rPr>
            <w:fldChar w:fldCharType="separate"/>
          </w:r>
          <w:r>
            <w:rPr>
              <w:rFonts w:hint="eastAsia"/>
              <w:color w:val="000000" w:themeColor="text1"/>
              <w14:textFill>
                <w14:solidFill>
                  <w14:schemeClr w14:val="tx1"/>
                </w14:solidFill>
              </w14:textFill>
            </w:rPr>
            <w:t>3.3规划设计原则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_Toc1818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6"/>
            <w:tabs>
              <w:tab w:val="right" w:leader="dot" w:pos="10254"/>
            </w:tabs>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_Toc17284 </w:instrText>
          </w:r>
          <w:r>
            <w:rPr>
              <w:color w:val="000000" w:themeColor="text1"/>
              <w:szCs w:val="21"/>
              <w14:textFill>
                <w14:solidFill>
                  <w14:schemeClr w14:val="tx1"/>
                </w14:solidFill>
              </w14:textFill>
            </w:rPr>
            <w:fldChar w:fldCharType="separate"/>
          </w:r>
          <w:r>
            <w:rPr>
              <w:rFonts w:hint="eastAsia"/>
              <w:color w:val="000000" w:themeColor="text1"/>
              <w14:textFill>
                <w14:solidFill>
                  <w14:schemeClr w14:val="tx1"/>
                </w14:solidFill>
              </w14:textFill>
            </w:rPr>
            <w:t>第四章  基地分析</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_Toc17284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9"/>
            <w:tabs>
              <w:tab w:val="right" w:leader="dot" w:pos="10254"/>
            </w:tabs>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_Toc17208 </w:instrText>
          </w:r>
          <w:r>
            <w:rPr>
              <w:color w:val="000000" w:themeColor="text1"/>
              <w:szCs w:val="21"/>
              <w14:textFill>
                <w14:solidFill>
                  <w14:schemeClr w14:val="tx1"/>
                </w14:solidFill>
              </w14:textFill>
            </w:rPr>
            <w:fldChar w:fldCharType="separate"/>
          </w:r>
          <w:r>
            <w:rPr>
              <w:rFonts w:hint="eastAsia"/>
              <w:color w:val="000000" w:themeColor="text1"/>
              <w14:textFill>
                <w14:solidFill>
                  <w14:schemeClr w14:val="tx1"/>
                </w14:solidFill>
              </w14:textFill>
            </w:rPr>
            <w:t>4.1场地地貌与高程分析</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_Toc17208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9"/>
            <w:tabs>
              <w:tab w:val="right" w:leader="dot" w:pos="10254"/>
            </w:tabs>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_Toc27315 </w:instrText>
          </w:r>
          <w:r>
            <w:rPr>
              <w:color w:val="000000" w:themeColor="text1"/>
              <w:szCs w:val="21"/>
              <w14:textFill>
                <w14:solidFill>
                  <w14:schemeClr w14:val="tx1"/>
                </w14:solidFill>
              </w14:textFill>
            </w:rPr>
            <w:fldChar w:fldCharType="separate"/>
          </w:r>
          <w:r>
            <w:rPr>
              <w:rFonts w:hint="eastAsia"/>
              <w:color w:val="000000" w:themeColor="text1"/>
              <w14:textFill>
                <w14:solidFill>
                  <w14:schemeClr w14:val="tx1"/>
                </w14:solidFill>
              </w14:textFill>
            </w:rPr>
            <w:t>4.2 基地工程地质情况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_Toc27315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9"/>
            <w:tabs>
              <w:tab w:val="right" w:leader="dot" w:pos="10254"/>
            </w:tabs>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_Toc28715 </w:instrText>
          </w:r>
          <w:r>
            <w:rPr>
              <w:color w:val="000000" w:themeColor="text1"/>
              <w:szCs w:val="21"/>
              <w14:textFill>
                <w14:solidFill>
                  <w14:schemeClr w14:val="tx1"/>
                </w14:solidFill>
              </w14:textFill>
            </w:rPr>
            <w:fldChar w:fldCharType="separate"/>
          </w:r>
          <w:r>
            <w:rPr>
              <w:rFonts w:hint="eastAsia"/>
              <w:color w:val="000000" w:themeColor="text1"/>
              <w14:textFill>
                <w14:solidFill>
                  <w14:schemeClr w14:val="tx1"/>
                </w14:solidFill>
              </w14:textFill>
            </w:rPr>
            <w:t>4.3基地交通分析</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_Toc28715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9"/>
            <w:tabs>
              <w:tab w:val="right" w:leader="dot" w:pos="10254"/>
            </w:tabs>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_Toc23804 </w:instrText>
          </w:r>
          <w:r>
            <w:rPr>
              <w:color w:val="000000" w:themeColor="text1"/>
              <w:szCs w:val="21"/>
              <w14:textFill>
                <w14:solidFill>
                  <w14:schemeClr w14:val="tx1"/>
                </w14:solidFill>
              </w14:textFill>
            </w:rPr>
            <w:fldChar w:fldCharType="separate"/>
          </w:r>
          <w:r>
            <w:rPr>
              <w:rFonts w:hint="eastAsia"/>
              <w:color w:val="000000" w:themeColor="text1"/>
              <w14:textFill>
                <w14:solidFill>
                  <w14:schemeClr w14:val="tx1"/>
                </w14:solidFill>
              </w14:textFill>
            </w:rPr>
            <w:t>4.4基地周边学校分析</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_Toc23804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9"/>
            <w:tabs>
              <w:tab w:val="right" w:leader="dot" w:pos="10254"/>
            </w:tabs>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_Toc3083 </w:instrText>
          </w:r>
          <w:r>
            <w:rPr>
              <w:color w:val="000000" w:themeColor="text1"/>
              <w:szCs w:val="21"/>
              <w14:textFill>
                <w14:solidFill>
                  <w14:schemeClr w14:val="tx1"/>
                </w14:solidFill>
              </w14:textFill>
            </w:rPr>
            <w:fldChar w:fldCharType="separate"/>
          </w:r>
          <w:r>
            <w:rPr>
              <w:rFonts w:hint="eastAsia"/>
              <w:color w:val="000000" w:themeColor="text1"/>
              <w14:textFill>
                <w14:solidFill>
                  <w14:schemeClr w14:val="tx1"/>
                </w14:solidFill>
              </w14:textFill>
            </w:rPr>
            <w:t>4.5 基地视野分析</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_Toc3083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6"/>
            <w:tabs>
              <w:tab w:val="right" w:leader="dot" w:pos="10254"/>
            </w:tabs>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_Toc5828 </w:instrText>
          </w:r>
          <w:r>
            <w:rPr>
              <w:color w:val="000000" w:themeColor="text1"/>
              <w:szCs w:val="21"/>
              <w14:textFill>
                <w14:solidFill>
                  <w14:schemeClr w14:val="tx1"/>
                </w14:solidFill>
              </w14:textFill>
            </w:rPr>
            <w:fldChar w:fldCharType="separate"/>
          </w:r>
          <w:r>
            <w:rPr>
              <w:rFonts w:hint="eastAsia"/>
              <w:color w:val="000000" w:themeColor="text1"/>
              <w14:textFill>
                <w14:solidFill>
                  <w14:schemeClr w14:val="tx1"/>
                </w14:solidFill>
              </w14:textFill>
            </w:rPr>
            <w:t>第五章  规划设计</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_Toc5828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9"/>
            <w:tabs>
              <w:tab w:val="right" w:leader="dot" w:pos="10254"/>
            </w:tabs>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_Toc1432 </w:instrText>
          </w:r>
          <w:r>
            <w:rPr>
              <w:color w:val="000000" w:themeColor="text1"/>
              <w:szCs w:val="21"/>
              <w14:textFill>
                <w14:solidFill>
                  <w14:schemeClr w14:val="tx1"/>
                </w14:solidFill>
              </w14:textFill>
            </w:rPr>
            <w:fldChar w:fldCharType="separate"/>
          </w:r>
          <w:r>
            <w:rPr>
              <w:rFonts w:hint="eastAsia"/>
              <w:color w:val="000000" w:themeColor="text1"/>
              <w14:textFill>
                <w14:solidFill>
                  <w14:schemeClr w14:val="tx1"/>
                </w14:solidFill>
              </w14:textFill>
            </w:rPr>
            <w:t>5.1 总平面规划布置</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_Toc1432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9"/>
            <w:tabs>
              <w:tab w:val="right" w:leader="dot" w:pos="10254"/>
            </w:tabs>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_Toc18450 </w:instrText>
          </w:r>
          <w:r>
            <w:rPr>
              <w:color w:val="000000" w:themeColor="text1"/>
              <w:szCs w:val="21"/>
              <w14:textFill>
                <w14:solidFill>
                  <w14:schemeClr w14:val="tx1"/>
                </w14:solidFill>
              </w14:textFill>
            </w:rPr>
            <w:fldChar w:fldCharType="separate"/>
          </w:r>
          <w:r>
            <w:rPr>
              <w:rFonts w:hint="eastAsia"/>
              <w:color w:val="000000" w:themeColor="text1"/>
              <w14:textFill>
                <w14:solidFill>
                  <w14:schemeClr w14:val="tx1"/>
                </w14:solidFill>
              </w14:textFill>
            </w:rPr>
            <w:t>5.3建筑竖向设计</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_Toc18450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9"/>
            <w:tabs>
              <w:tab w:val="right" w:leader="dot" w:pos="10254"/>
            </w:tabs>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_Toc24564 </w:instrText>
          </w:r>
          <w:r>
            <w:rPr>
              <w:color w:val="000000" w:themeColor="text1"/>
              <w:szCs w:val="21"/>
              <w14:textFill>
                <w14:solidFill>
                  <w14:schemeClr w14:val="tx1"/>
                </w14:solidFill>
              </w14:textFill>
            </w:rPr>
            <w:fldChar w:fldCharType="separate"/>
          </w:r>
          <w:r>
            <w:rPr>
              <w:rFonts w:hint="eastAsia"/>
              <w:color w:val="000000" w:themeColor="text1"/>
              <w14:textFill>
                <w14:solidFill>
                  <w14:schemeClr w14:val="tx1"/>
                </w14:solidFill>
              </w14:textFill>
            </w:rPr>
            <w:t>5.4道路交通规划设计</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_Toc24564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9"/>
            <w:tabs>
              <w:tab w:val="right" w:leader="dot" w:pos="10254"/>
            </w:tabs>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_Toc5581 </w:instrText>
          </w:r>
          <w:r>
            <w:rPr>
              <w:color w:val="000000" w:themeColor="text1"/>
              <w:szCs w:val="21"/>
              <w14:textFill>
                <w14:solidFill>
                  <w14:schemeClr w14:val="tx1"/>
                </w14:solidFill>
              </w14:textFill>
            </w:rPr>
            <w:fldChar w:fldCharType="separate"/>
          </w:r>
          <w:r>
            <w:rPr>
              <w:rFonts w:hint="eastAsia"/>
              <w:color w:val="000000" w:themeColor="text1"/>
              <w14:textFill>
                <w14:solidFill>
                  <w14:schemeClr w14:val="tx1"/>
                </w14:solidFill>
              </w14:textFill>
            </w:rPr>
            <w:t>5.5景观规划设计</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_Toc5581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9"/>
            <w:tabs>
              <w:tab w:val="right" w:leader="dot" w:pos="10254"/>
            </w:tabs>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_Toc26995 </w:instrText>
          </w:r>
          <w:r>
            <w:rPr>
              <w:color w:val="000000" w:themeColor="text1"/>
              <w:szCs w:val="21"/>
              <w14:textFill>
                <w14:solidFill>
                  <w14:schemeClr w14:val="tx1"/>
                </w14:solidFill>
              </w14:textFill>
            </w:rPr>
            <w:fldChar w:fldCharType="separate"/>
          </w:r>
          <w:r>
            <w:rPr>
              <w:rFonts w:hint="eastAsia"/>
              <w:color w:val="000000" w:themeColor="text1"/>
              <w14:textFill>
                <w14:solidFill>
                  <w14:schemeClr w14:val="tx1"/>
                </w14:solidFill>
              </w14:textFill>
            </w:rPr>
            <w:t>5.5 公共设施规划设计</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_Toc26995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9"/>
            <w:tabs>
              <w:tab w:val="right" w:leader="dot" w:pos="10254"/>
            </w:tabs>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_Toc1504 </w:instrText>
          </w:r>
          <w:r>
            <w:rPr>
              <w:color w:val="000000" w:themeColor="text1"/>
              <w:szCs w:val="21"/>
              <w14:textFill>
                <w14:solidFill>
                  <w14:schemeClr w14:val="tx1"/>
                </w14:solidFill>
              </w14:textFill>
            </w:rPr>
            <w:fldChar w:fldCharType="separate"/>
          </w:r>
          <w:r>
            <w:rPr>
              <w:rFonts w:hint="eastAsia"/>
              <w:color w:val="000000" w:themeColor="text1"/>
              <w14:textFill>
                <w14:solidFill>
                  <w14:schemeClr w14:val="tx1"/>
                </w14:solidFill>
              </w14:textFill>
            </w:rPr>
            <w:t>5.6 消防设计</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_Toc1504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9"/>
            <w:tabs>
              <w:tab w:val="right" w:leader="dot" w:pos="10254"/>
            </w:tabs>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_Toc17841 </w:instrText>
          </w:r>
          <w:r>
            <w:rPr>
              <w:color w:val="000000" w:themeColor="text1"/>
              <w:szCs w:val="21"/>
              <w14:textFill>
                <w14:solidFill>
                  <w14:schemeClr w14:val="tx1"/>
                </w14:solidFill>
              </w14:textFill>
            </w:rPr>
            <w:fldChar w:fldCharType="separate"/>
          </w:r>
          <w:r>
            <w:rPr>
              <w:rFonts w:hint="eastAsia"/>
              <w:color w:val="000000" w:themeColor="text1"/>
              <w14:textFill>
                <w14:solidFill>
                  <w14:schemeClr w14:val="tx1"/>
                </w14:solidFill>
              </w14:textFill>
            </w:rPr>
            <w:t>5.7无障碍设计</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_Toc17841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9"/>
            <w:tabs>
              <w:tab w:val="right" w:leader="dot" w:pos="10254"/>
            </w:tabs>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_Toc30052 </w:instrText>
          </w:r>
          <w:r>
            <w:rPr>
              <w:color w:val="000000" w:themeColor="text1"/>
              <w:szCs w:val="21"/>
              <w14:textFill>
                <w14:solidFill>
                  <w14:schemeClr w14:val="tx1"/>
                </w14:solidFill>
              </w14:textFill>
            </w:rPr>
            <w:fldChar w:fldCharType="separate"/>
          </w:r>
          <w:r>
            <w:rPr>
              <w:rFonts w:hint="eastAsia"/>
              <w:color w:val="000000" w:themeColor="text1"/>
              <w14:textFill>
                <w14:solidFill>
                  <w14:schemeClr w14:val="tx1"/>
                </w14:solidFill>
              </w14:textFill>
            </w:rPr>
            <w:t>5.8经济技术指标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_Toc30052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6"/>
            <w:tabs>
              <w:tab w:val="right" w:leader="dot" w:pos="10254"/>
            </w:tabs>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_Toc19851 </w:instrText>
          </w:r>
          <w:r>
            <w:rPr>
              <w:color w:val="000000" w:themeColor="text1"/>
              <w:szCs w:val="21"/>
              <w14:textFill>
                <w14:solidFill>
                  <w14:schemeClr w14:val="tx1"/>
                </w14:solidFill>
              </w14:textFill>
            </w:rPr>
            <w:fldChar w:fldCharType="separate"/>
          </w:r>
          <w:r>
            <w:rPr>
              <w:rFonts w:hint="eastAsia"/>
              <w:color w:val="000000" w:themeColor="text1"/>
              <w14:textFill>
                <w14:solidFill>
                  <w14:schemeClr w14:val="tx1"/>
                </w14:solidFill>
              </w14:textFill>
            </w:rPr>
            <w:t>第六章  建筑设计</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_Toc19851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8</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9"/>
            <w:tabs>
              <w:tab w:val="right" w:leader="dot" w:pos="10254"/>
            </w:tabs>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_Toc12615 </w:instrText>
          </w:r>
          <w:r>
            <w:rPr>
              <w:color w:val="000000" w:themeColor="text1"/>
              <w:szCs w:val="21"/>
              <w14:textFill>
                <w14:solidFill>
                  <w14:schemeClr w14:val="tx1"/>
                </w14:solidFill>
              </w14:textFill>
            </w:rPr>
            <w:fldChar w:fldCharType="separate"/>
          </w:r>
          <w:r>
            <w:rPr>
              <w:rFonts w:hint="eastAsia"/>
              <w:color w:val="000000" w:themeColor="text1"/>
              <w14:textFill>
                <w14:solidFill>
                  <w14:schemeClr w14:val="tx1"/>
                </w14:solidFill>
              </w14:textFill>
            </w:rPr>
            <w:t>6.1 设计依据</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_Toc12615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8</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9"/>
            <w:tabs>
              <w:tab w:val="right" w:leader="dot" w:pos="10254"/>
            </w:tabs>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_Toc7088 </w:instrText>
          </w:r>
          <w:r>
            <w:rPr>
              <w:color w:val="000000" w:themeColor="text1"/>
              <w:szCs w:val="21"/>
              <w14:textFill>
                <w14:solidFill>
                  <w14:schemeClr w14:val="tx1"/>
                </w14:solidFill>
              </w14:textFill>
            </w:rPr>
            <w:fldChar w:fldCharType="separate"/>
          </w:r>
          <w:r>
            <w:rPr>
              <w:rFonts w:hint="eastAsia"/>
              <w:color w:val="000000" w:themeColor="text1"/>
              <w14:textFill>
                <w14:solidFill>
                  <w14:schemeClr w14:val="tx1"/>
                </w14:solidFill>
              </w14:textFill>
            </w:rPr>
            <w:t>6.2 上部建筑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_Toc7088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8</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9"/>
            <w:tabs>
              <w:tab w:val="right" w:leader="dot" w:pos="10254"/>
            </w:tabs>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_Toc19724 </w:instrText>
          </w:r>
          <w:r>
            <w:rPr>
              <w:color w:val="000000" w:themeColor="text1"/>
              <w:szCs w:val="21"/>
              <w14:textFill>
                <w14:solidFill>
                  <w14:schemeClr w14:val="tx1"/>
                </w14:solidFill>
              </w14:textFill>
            </w:rPr>
            <w:fldChar w:fldCharType="separate"/>
          </w:r>
          <w:r>
            <w:rPr>
              <w:rFonts w:hint="eastAsia"/>
              <w:color w:val="000000" w:themeColor="text1"/>
              <w14:textFill>
                <w14:solidFill>
                  <w14:schemeClr w14:val="tx1"/>
                </w14:solidFill>
              </w14:textFill>
            </w:rPr>
            <w:t>6.3 建筑风貌</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_Toc19724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9</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6"/>
            <w:tabs>
              <w:tab w:val="right" w:leader="dot" w:pos="10254"/>
            </w:tabs>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_Toc4834 </w:instrText>
          </w:r>
          <w:r>
            <w:rPr>
              <w:color w:val="000000" w:themeColor="text1"/>
              <w:szCs w:val="21"/>
              <w14:textFill>
                <w14:solidFill>
                  <w14:schemeClr w14:val="tx1"/>
                </w14:solidFill>
              </w14:textFill>
            </w:rPr>
            <w:fldChar w:fldCharType="separate"/>
          </w:r>
          <w:r>
            <w:rPr>
              <w:rFonts w:hint="eastAsia"/>
              <w:color w:val="000000" w:themeColor="text1"/>
              <w14:textFill>
                <w14:solidFill>
                  <w14:schemeClr w14:val="tx1"/>
                </w14:solidFill>
              </w14:textFill>
            </w:rPr>
            <w:t>第七章  结构设计</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_Toc4834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9</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9"/>
            <w:tabs>
              <w:tab w:val="right" w:leader="dot" w:pos="10254"/>
            </w:tabs>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_Toc28816 </w:instrText>
          </w:r>
          <w:r>
            <w:rPr>
              <w:color w:val="000000" w:themeColor="text1"/>
              <w:szCs w:val="21"/>
              <w14:textFill>
                <w14:solidFill>
                  <w14:schemeClr w14:val="tx1"/>
                </w14:solidFill>
              </w14:textFill>
            </w:rPr>
            <w:fldChar w:fldCharType="separate"/>
          </w:r>
          <w:r>
            <w:rPr>
              <w:rFonts w:hint="eastAsia"/>
              <w:color w:val="000000" w:themeColor="text1"/>
              <w14:textFill>
                <w14:solidFill>
                  <w14:schemeClr w14:val="tx1"/>
                </w14:solidFill>
              </w14:textFill>
            </w:rPr>
            <w:t>7.</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 xml:space="preserve"> 工程概况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_Toc28816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9</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9"/>
            <w:tabs>
              <w:tab w:val="right" w:leader="dot" w:pos="10254"/>
            </w:tabs>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_Toc21284 </w:instrText>
          </w:r>
          <w:r>
            <w:rPr>
              <w:color w:val="000000" w:themeColor="text1"/>
              <w:szCs w:val="21"/>
              <w14:textFill>
                <w14:solidFill>
                  <w14:schemeClr w14:val="tx1"/>
                </w14:solidFill>
              </w14:textFill>
            </w:rPr>
            <w:fldChar w:fldCharType="separate"/>
          </w:r>
          <w:r>
            <w:rPr>
              <w:rFonts w:hint="eastAsia"/>
              <w:color w:val="000000" w:themeColor="text1"/>
              <w14:textFill>
                <w14:solidFill>
                  <w14:schemeClr w14:val="tx1"/>
                </w14:solidFill>
              </w14:textFill>
            </w:rPr>
            <w:t>7.</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 xml:space="preserve"> 设计依据</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_Toc21284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9</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9"/>
            <w:tabs>
              <w:tab w:val="right" w:leader="dot" w:pos="10254"/>
            </w:tabs>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_Toc23806 </w:instrText>
          </w:r>
          <w:r>
            <w:rPr>
              <w:color w:val="000000" w:themeColor="text1"/>
              <w:szCs w:val="21"/>
              <w14:textFill>
                <w14:solidFill>
                  <w14:schemeClr w14:val="tx1"/>
                </w14:solidFill>
              </w14:textFill>
            </w:rPr>
            <w:fldChar w:fldCharType="separate"/>
          </w:r>
          <w:r>
            <w:rPr>
              <w:rFonts w:hint="eastAsia"/>
              <w:color w:val="000000" w:themeColor="text1"/>
              <w14:textFill>
                <w14:solidFill>
                  <w14:schemeClr w14:val="tx1"/>
                </w14:solidFill>
              </w14:textFill>
            </w:rPr>
            <w:t>7.</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 xml:space="preserve"> 结构方案</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_Toc23806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10</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9"/>
            <w:tabs>
              <w:tab w:val="right" w:leader="dot" w:pos="10254"/>
            </w:tabs>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_Toc32097 </w:instrText>
          </w:r>
          <w:r>
            <w:rPr>
              <w:color w:val="000000" w:themeColor="text1"/>
              <w:szCs w:val="21"/>
              <w14:textFill>
                <w14:solidFill>
                  <w14:schemeClr w14:val="tx1"/>
                </w14:solidFill>
              </w14:textFill>
            </w:rPr>
            <w:fldChar w:fldCharType="separate"/>
          </w:r>
          <w:r>
            <w:rPr>
              <w:rFonts w:hint="eastAsia"/>
              <w:color w:val="000000" w:themeColor="text1"/>
              <w14:textFill>
                <w14:solidFill>
                  <w14:schemeClr w14:val="tx1"/>
                </w14:solidFill>
              </w14:textFill>
            </w:rPr>
            <w:t>7.4 采取的加强和改进措施</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_Toc32097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12</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6"/>
            <w:tabs>
              <w:tab w:val="right" w:leader="dot" w:pos="10254"/>
            </w:tabs>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_Toc10835 </w:instrText>
          </w:r>
          <w:r>
            <w:rPr>
              <w:color w:val="000000" w:themeColor="text1"/>
              <w:szCs w:val="21"/>
              <w14:textFill>
                <w14:solidFill>
                  <w14:schemeClr w14:val="tx1"/>
                </w14:solidFill>
              </w14:textFill>
            </w:rPr>
            <w:fldChar w:fldCharType="separate"/>
          </w:r>
          <w:r>
            <w:rPr>
              <w:rFonts w:hint="eastAsia"/>
              <w:color w:val="000000" w:themeColor="text1"/>
              <w14:textFill>
                <w14:solidFill>
                  <w14:schemeClr w14:val="tx1"/>
                </w14:solidFill>
              </w14:textFill>
            </w:rPr>
            <w:t>第八章  给排水设计</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_Toc10835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12</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9"/>
            <w:tabs>
              <w:tab w:val="right" w:leader="dot" w:pos="10254"/>
            </w:tabs>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_Toc24920 </w:instrText>
          </w:r>
          <w:r>
            <w:rPr>
              <w:color w:val="000000" w:themeColor="text1"/>
              <w:szCs w:val="21"/>
              <w14:textFill>
                <w14:solidFill>
                  <w14:schemeClr w14:val="tx1"/>
                </w14:solidFill>
              </w14:textFill>
            </w:rPr>
            <w:fldChar w:fldCharType="separate"/>
          </w:r>
          <w:r>
            <w:rPr>
              <w:rFonts w:hint="eastAsia"/>
              <w:color w:val="000000" w:themeColor="text1"/>
              <w14:textFill>
                <w14:solidFill>
                  <w14:schemeClr w14:val="tx1"/>
                </w14:solidFill>
              </w14:textFill>
            </w:rPr>
            <w:t>8.1 设计依据</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_Toc24920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12</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9"/>
            <w:tabs>
              <w:tab w:val="right" w:leader="dot" w:pos="10254"/>
            </w:tabs>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_Toc2601 </w:instrText>
          </w:r>
          <w:r>
            <w:rPr>
              <w:color w:val="000000" w:themeColor="text1"/>
              <w:szCs w:val="21"/>
              <w14:textFill>
                <w14:solidFill>
                  <w14:schemeClr w14:val="tx1"/>
                </w14:solidFill>
              </w14:textFill>
            </w:rPr>
            <w:fldChar w:fldCharType="separate"/>
          </w:r>
          <w:r>
            <w:rPr>
              <w:rFonts w:hint="eastAsia"/>
              <w:color w:val="000000" w:themeColor="text1"/>
              <w14:textFill>
                <w14:solidFill>
                  <w14:schemeClr w14:val="tx1"/>
                </w14:solidFill>
              </w14:textFill>
            </w:rPr>
            <w:t>8.2 工程概况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_Toc2601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13</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9"/>
            <w:tabs>
              <w:tab w:val="right" w:leader="dot" w:pos="10254"/>
            </w:tabs>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_Toc20427 </w:instrText>
          </w:r>
          <w:r>
            <w:rPr>
              <w:color w:val="000000" w:themeColor="text1"/>
              <w:szCs w:val="21"/>
              <w14:textFill>
                <w14:solidFill>
                  <w14:schemeClr w14:val="tx1"/>
                </w14:solidFill>
              </w14:textFill>
            </w:rPr>
            <w:fldChar w:fldCharType="separate"/>
          </w:r>
          <w:r>
            <w:rPr>
              <w:rFonts w:hint="eastAsia"/>
              <w:color w:val="000000" w:themeColor="text1"/>
              <w14:textFill>
                <w14:solidFill>
                  <w14:schemeClr w14:val="tx1"/>
                </w14:solidFill>
              </w14:textFill>
            </w:rPr>
            <w:t>8.3 设计范围</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_Toc20427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13</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9"/>
            <w:tabs>
              <w:tab w:val="right" w:leader="dot" w:pos="10254"/>
            </w:tabs>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_Toc408 </w:instrText>
          </w:r>
          <w:r>
            <w:rPr>
              <w:color w:val="000000" w:themeColor="text1"/>
              <w:szCs w:val="21"/>
              <w14:textFill>
                <w14:solidFill>
                  <w14:schemeClr w14:val="tx1"/>
                </w14:solidFill>
              </w14:textFill>
            </w:rPr>
            <w:fldChar w:fldCharType="separate"/>
          </w:r>
          <w:r>
            <w:rPr>
              <w:rFonts w:hint="eastAsia"/>
              <w:color w:val="000000" w:themeColor="text1"/>
              <w14:textFill>
                <w14:solidFill>
                  <w14:schemeClr w14:val="tx1"/>
                </w14:solidFill>
              </w14:textFill>
            </w:rPr>
            <w:t>8.4 给水工程</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_Toc408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13</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9"/>
            <w:tabs>
              <w:tab w:val="right" w:leader="dot" w:pos="10254"/>
            </w:tabs>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_Toc23363 </w:instrText>
          </w:r>
          <w:r>
            <w:rPr>
              <w:color w:val="000000" w:themeColor="text1"/>
              <w:szCs w:val="21"/>
              <w14:textFill>
                <w14:solidFill>
                  <w14:schemeClr w14:val="tx1"/>
                </w14:solidFill>
              </w14:textFill>
            </w:rPr>
            <w:fldChar w:fldCharType="separate"/>
          </w:r>
          <w:r>
            <w:rPr>
              <w:rFonts w:hint="eastAsia"/>
              <w:color w:val="000000" w:themeColor="text1"/>
              <w14:textFill>
                <w14:solidFill>
                  <w14:schemeClr w14:val="tx1"/>
                </w14:solidFill>
              </w14:textFill>
            </w:rPr>
            <w:t>8.5 排水工程</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_Toc23363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13</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9"/>
            <w:tabs>
              <w:tab w:val="right" w:leader="dot" w:pos="10254"/>
            </w:tabs>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_Toc23415 </w:instrText>
          </w:r>
          <w:r>
            <w:rPr>
              <w:color w:val="000000" w:themeColor="text1"/>
              <w:szCs w:val="21"/>
              <w14:textFill>
                <w14:solidFill>
                  <w14:schemeClr w14:val="tx1"/>
                </w14:solidFill>
              </w14:textFill>
            </w:rPr>
            <w:fldChar w:fldCharType="separate"/>
          </w:r>
          <w:r>
            <w:rPr>
              <w:rFonts w:hint="eastAsia"/>
              <w:color w:val="000000" w:themeColor="text1"/>
              <w14:textFill>
                <w14:solidFill>
                  <w14:schemeClr w14:val="tx1"/>
                </w14:solidFill>
              </w14:textFill>
            </w:rPr>
            <w:t>8.6 消防系统</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_Toc23415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14</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9"/>
            <w:tabs>
              <w:tab w:val="right" w:leader="dot" w:pos="10254"/>
            </w:tabs>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_Toc25584 </w:instrText>
          </w:r>
          <w:r>
            <w:rPr>
              <w:color w:val="000000" w:themeColor="text1"/>
              <w:szCs w:val="21"/>
              <w14:textFill>
                <w14:solidFill>
                  <w14:schemeClr w14:val="tx1"/>
                </w14:solidFill>
              </w14:textFill>
            </w:rPr>
            <w:fldChar w:fldCharType="separate"/>
          </w:r>
          <w:r>
            <w:rPr>
              <w:rFonts w:hint="eastAsia"/>
              <w:color w:val="000000" w:themeColor="text1"/>
              <w14:textFill>
                <w14:solidFill>
                  <w14:schemeClr w14:val="tx1"/>
                </w14:solidFill>
              </w14:textFill>
            </w:rPr>
            <w:t>8.7 管材说明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_Toc25584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15</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9"/>
            <w:tabs>
              <w:tab w:val="right" w:leader="dot" w:pos="10254"/>
            </w:tabs>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_Toc23869 </w:instrText>
          </w:r>
          <w:r>
            <w:rPr>
              <w:color w:val="000000" w:themeColor="text1"/>
              <w:szCs w:val="21"/>
              <w14:textFill>
                <w14:solidFill>
                  <w14:schemeClr w14:val="tx1"/>
                </w14:solidFill>
              </w14:textFill>
            </w:rPr>
            <w:fldChar w:fldCharType="separate"/>
          </w:r>
          <w:r>
            <w:rPr>
              <w:rFonts w:hint="eastAsia"/>
              <w:color w:val="000000" w:themeColor="text1"/>
              <w14:textFill>
                <w14:solidFill>
                  <w14:schemeClr w14:val="tx1"/>
                </w14:solidFill>
              </w14:textFill>
            </w:rPr>
            <w:t>8.8 节水、节能减排措施</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_Toc23869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15</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9"/>
            <w:tabs>
              <w:tab w:val="right" w:leader="dot" w:pos="10254"/>
            </w:tabs>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_Toc28510 </w:instrText>
          </w:r>
          <w:r>
            <w:rPr>
              <w:color w:val="000000" w:themeColor="text1"/>
              <w:szCs w:val="21"/>
              <w14:textFill>
                <w14:solidFill>
                  <w14:schemeClr w14:val="tx1"/>
                </w14:solidFill>
              </w14:textFill>
            </w:rPr>
            <w:fldChar w:fldCharType="separate"/>
          </w:r>
          <w:r>
            <w:rPr>
              <w:rFonts w:hint="eastAsia"/>
              <w:color w:val="000000" w:themeColor="text1"/>
              <w14:textFill>
                <w14:solidFill>
                  <w14:schemeClr w14:val="tx1"/>
                </w14:solidFill>
              </w14:textFill>
            </w:rPr>
            <w:t>8.9 机电管线及设备抗振</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_Toc28510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16</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6"/>
            <w:tabs>
              <w:tab w:val="right" w:leader="dot" w:pos="10254"/>
            </w:tabs>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_Toc23634 </w:instrText>
          </w:r>
          <w:r>
            <w:rPr>
              <w:color w:val="000000" w:themeColor="text1"/>
              <w:szCs w:val="21"/>
              <w14:textFill>
                <w14:solidFill>
                  <w14:schemeClr w14:val="tx1"/>
                </w14:solidFill>
              </w14:textFill>
            </w:rPr>
            <w:fldChar w:fldCharType="separate"/>
          </w:r>
          <w:r>
            <w:rPr>
              <w:rFonts w:hint="eastAsia"/>
              <w:color w:val="000000" w:themeColor="text1"/>
              <w14:textFill>
                <w14:solidFill>
                  <w14:schemeClr w14:val="tx1"/>
                </w14:solidFill>
              </w14:textFill>
            </w:rPr>
            <w:t>第九章  电气设计</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_Toc23634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16</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6"/>
            <w:tabs>
              <w:tab w:val="right" w:leader="dot" w:pos="10254"/>
            </w:tabs>
            <w:ind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_Toc4899 </w:instrText>
          </w:r>
          <w:r>
            <w:rPr>
              <w:color w:val="000000" w:themeColor="text1"/>
              <w:szCs w:val="21"/>
              <w14:textFill>
                <w14:solidFill>
                  <w14:schemeClr w14:val="tx1"/>
                </w14:solidFill>
              </w14:textFill>
            </w:rPr>
            <w:fldChar w:fldCharType="separate"/>
          </w:r>
          <w:r>
            <w:rPr>
              <w:rFonts w:hint="eastAsia"/>
              <w:color w:val="000000" w:themeColor="text1"/>
              <w:szCs w:val="32"/>
              <w14:textFill>
                <w14:solidFill>
                  <w14:schemeClr w14:val="tx1"/>
                </w14:solidFill>
              </w14:textFill>
            </w:rPr>
            <w:t>一、工程概况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_Toc4899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16</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6"/>
            <w:tabs>
              <w:tab w:val="right" w:leader="dot" w:pos="10254"/>
            </w:tabs>
            <w:ind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_Toc12722 </w:instrText>
          </w:r>
          <w:r>
            <w:rPr>
              <w:color w:val="000000" w:themeColor="text1"/>
              <w:szCs w:val="21"/>
              <w14:textFill>
                <w14:solidFill>
                  <w14:schemeClr w14:val="tx1"/>
                </w14:solidFill>
              </w14:textFill>
            </w:rPr>
            <w:fldChar w:fldCharType="separate"/>
          </w:r>
          <w:r>
            <w:rPr>
              <w:rFonts w:hint="eastAsia"/>
              <w:color w:val="000000" w:themeColor="text1"/>
              <w:szCs w:val="32"/>
              <w14:textFill>
                <w14:solidFill>
                  <w14:schemeClr w14:val="tx1"/>
                </w14:solidFill>
              </w14:textFill>
            </w:rPr>
            <w:t>二、设计依据</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_Toc12722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16</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6"/>
            <w:tabs>
              <w:tab w:val="right" w:leader="dot" w:pos="10254"/>
            </w:tabs>
            <w:ind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_Toc2151 </w:instrText>
          </w:r>
          <w:r>
            <w:rPr>
              <w:color w:val="000000" w:themeColor="text1"/>
              <w:szCs w:val="21"/>
              <w14:textFill>
                <w14:solidFill>
                  <w14:schemeClr w14:val="tx1"/>
                </w14:solidFill>
              </w14:textFill>
            </w:rPr>
            <w:fldChar w:fldCharType="separate"/>
          </w:r>
          <w:r>
            <w:rPr>
              <w:rFonts w:hint="eastAsia"/>
              <w:color w:val="000000" w:themeColor="text1"/>
              <w:szCs w:val="32"/>
              <w14:textFill>
                <w14:solidFill>
                  <w14:schemeClr w14:val="tx1"/>
                </w14:solidFill>
              </w14:textFill>
            </w:rPr>
            <w:t>三、供配电设计</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_Toc2151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17</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6"/>
            <w:tabs>
              <w:tab w:val="right" w:leader="dot" w:pos="10254"/>
            </w:tabs>
            <w:ind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_Toc749 </w:instrText>
          </w:r>
          <w:r>
            <w:rPr>
              <w:color w:val="000000" w:themeColor="text1"/>
              <w:szCs w:val="21"/>
              <w14:textFill>
                <w14:solidFill>
                  <w14:schemeClr w14:val="tx1"/>
                </w14:solidFill>
              </w14:textFill>
            </w:rPr>
            <w:fldChar w:fldCharType="separate"/>
          </w:r>
          <w:r>
            <w:rPr>
              <w:rFonts w:hint="eastAsia"/>
              <w:color w:val="000000" w:themeColor="text1"/>
              <w:szCs w:val="32"/>
              <w14:textFill>
                <w14:solidFill>
                  <w14:schemeClr w14:val="tx1"/>
                </w14:solidFill>
              </w14:textFill>
            </w:rPr>
            <w:t>四、供电电源及电压等级</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_Toc749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18</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6"/>
            <w:tabs>
              <w:tab w:val="right" w:leader="dot" w:pos="10254"/>
            </w:tabs>
            <w:ind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_Toc27484 </w:instrText>
          </w:r>
          <w:r>
            <w:rPr>
              <w:color w:val="000000" w:themeColor="text1"/>
              <w:szCs w:val="21"/>
              <w14:textFill>
                <w14:solidFill>
                  <w14:schemeClr w14:val="tx1"/>
                </w14:solidFill>
              </w14:textFill>
            </w:rPr>
            <w:fldChar w:fldCharType="separate"/>
          </w:r>
          <w:r>
            <w:rPr>
              <w:rFonts w:hint="eastAsia"/>
              <w:color w:val="000000" w:themeColor="text1"/>
              <w:szCs w:val="32"/>
              <w14:textFill>
                <w14:solidFill>
                  <w14:schemeClr w14:val="tx1"/>
                </w14:solidFill>
              </w14:textFill>
            </w:rPr>
            <w:t>五、弱电设计</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_Toc27484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20</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6"/>
            <w:tabs>
              <w:tab w:val="right" w:leader="dot" w:pos="10254"/>
            </w:tabs>
            <w:ind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_Toc28213 </w:instrText>
          </w:r>
          <w:r>
            <w:rPr>
              <w:color w:val="000000" w:themeColor="text1"/>
              <w:szCs w:val="21"/>
              <w14:textFill>
                <w14:solidFill>
                  <w14:schemeClr w14:val="tx1"/>
                </w14:solidFill>
              </w14:textFill>
            </w:rPr>
            <w:fldChar w:fldCharType="separate"/>
          </w:r>
          <w:r>
            <w:rPr>
              <w:rFonts w:hint="eastAsia"/>
              <w:color w:val="000000" w:themeColor="text1"/>
              <w:szCs w:val="32"/>
              <w14:textFill>
                <w14:solidFill>
                  <w14:schemeClr w14:val="tx1"/>
                </w14:solidFill>
              </w14:textFill>
            </w:rPr>
            <w:t>六、火灾自动报警系统</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_Toc28213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21</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6"/>
            <w:tabs>
              <w:tab w:val="right" w:leader="dot" w:pos="10254"/>
            </w:tabs>
            <w:ind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_Toc9385 </w:instrText>
          </w:r>
          <w:r>
            <w:rPr>
              <w:color w:val="000000" w:themeColor="text1"/>
              <w:szCs w:val="21"/>
              <w14:textFill>
                <w14:solidFill>
                  <w14:schemeClr w14:val="tx1"/>
                </w14:solidFill>
              </w14:textFill>
            </w:rPr>
            <w:fldChar w:fldCharType="separate"/>
          </w:r>
          <w:r>
            <w:rPr>
              <w:rFonts w:hint="eastAsia"/>
              <w:color w:val="000000" w:themeColor="text1"/>
              <w:szCs w:val="32"/>
              <w14:textFill>
                <w14:solidFill>
                  <w14:schemeClr w14:val="tx1"/>
                </w14:solidFill>
              </w14:textFill>
            </w:rPr>
            <w:t>七、电气节能</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_Toc9385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22</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6"/>
            <w:tabs>
              <w:tab w:val="right" w:leader="dot" w:pos="10254"/>
            </w:tabs>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_Toc10755 </w:instrText>
          </w:r>
          <w:r>
            <w:rPr>
              <w:color w:val="000000" w:themeColor="text1"/>
              <w:szCs w:val="21"/>
              <w14:textFill>
                <w14:solidFill>
                  <w14:schemeClr w14:val="tx1"/>
                </w14:solidFill>
              </w14:textFill>
            </w:rPr>
            <w:fldChar w:fldCharType="separate"/>
          </w:r>
          <w:r>
            <w:rPr>
              <w:rFonts w:hint="eastAsia"/>
              <w:color w:val="000000" w:themeColor="text1"/>
              <w14:textFill>
                <w14:solidFill>
                  <w14:schemeClr w14:val="tx1"/>
                </w14:solidFill>
              </w14:textFill>
            </w:rPr>
            <w:t>第十章  暖通设计</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_Toc10755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23</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6"/>
            <w:tabs>
              <w:tab w:val="right" w:leader="dot" w:pos="10254"/>
            </w:tabs>
            <w:ind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_Toc11969 </w:instrText>
          </w:r>
          <w:r>
            <w:rPr>
              <w:color w:val="000000" w:themeColor="text1"/>
              <w:szCs w:val="21"/>
              <w14:textFill>
                <w14:solidFill>
                  <w14:schemeClr w14:val="tx1"/>
                </w14:solidFill>
              </w14:textFill>
            </w:rPr>
            <w:fldChar w:fldCharType="separate"/>
          </w:r>
          <w:r>
            <w:rPr>
              <w:rFonts w:hint="eastAsia"/>
              <w:color w:val="000000" w:themeColor="text1"/>
              <w:szCs w:val="32"/>
              <w14:textFill>
                <w14:solidFill>
                  <w14:schemeClr w14:val="tx1"/>
                </w14:solidFill>
              </w14:textFill>
            </w:rPr>
            <w:t>一、设计依据</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_Toc11969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23</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6"/>
            <w:tabs>
              <w:tab w:val="right" w:leader="dot" w:pos="10254"/>
            </w:tabs>
            <w:ind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_Toc30038 </w:instrText>
          </w:r>
          <w:r>
            <w:rPr>
              <w:color w:val="000000" w:themeColor="text1"/>
              <w:szCs w:val="21"/>
              <w14:textFill>
                <w14:solidFill>
                  <w14:schemeClr w14:val="tx1"/>
                </w14:solidFill>
              </w14:textFill>
            </w:rPr>
            <w:fldChar w:fldCharType="separate"/>
          </w:r>
          <w:r>
            <w:rPr>
              <w:rFonts w:hint="eastAsia"/>
              <w:color w:val="000000" w:themeColor="text1"/>
              <w:szCs w:val="32"/>
              <w14:textFill>
                <w14:solidFill>
                  <w14:schemeClr w14:val="tx1"/>
                </w14:solidFill>
              </w14:textFill>
            </w:rPr>
            <w:t>二、设计范围</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_Toc30038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23</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6"/>
            <w:tabs>
              <w:tab w:val="right" w:leader="dot" w:pos="10254"/>
            </w:tabs>
            <w:ind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_Toc10649 </w:instrText>
          </w:r>
          <w:r>
            <w:rPr>
              <w:color w:val="000000" w:themeColor="text1"/>
              <w:szCs w:val="21"/>
              <w14:textFill>
                <w14:solidFill>
                  <w14:schemeClr w14:val="tx1"/>
                </w14:solidFill>
              </w14:textFill>
            </w:rPr>
            <w:fldChar w:fldCharType="separate"/>
          </w:r>
          <w:r>
            <w:rPr>
              <w:rFonts w:hint="eastAsia"/>
              <w:color w:val="000000" w:themeColor="text1"/>
              <w:szCs w:val="32"/>
              <w14:textFill>
                <w14:solidFill>
                  <w14:schemeClr w14:val="tx1"/>
                </w14:solidFill>
              </w14:textFill>
            </w:rPr>
            <w:t>三、通风及防排烟系统设计</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_Toc10649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23</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6"/>
            <w:tabs>
              <w:tab w:val="right" w:leader="dot" w:pos="10254"/>
            </w:tabs>
            <w:ind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_Toc8566 </w:instrText>
          </w:r>
          <w:r>
            <w:rPr>
              <w:color w:val="000000" w:themeColor="text1"/>
              <w:szCs w:val="21"/>
              <w14:textFill>
                <w14:solidFill>
                  <w14:schemeClr w14:val="tx1"/>
                </w14:solidFill>
              </w14:textFill>
            </w:rPr>
            <w:fldChar w:fldCharType="separate"/>
          </w:r>
          <w:r>
            <w:rPr>
              <w:rFonts w:hint="eastAsia"/>
              <w:color w:val="000000" w:themeColor="text1"/>
              <w:szCs w:val="32"/>
              <w14:textFill>
                <w14:solidFill>
                  <w14:schemeClr w14:val="tx1"/>
                </w14:solidFill>
              </w14:textFill>
            </w:rPr>
            <w:t>四、消防联动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_Toc8566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25</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6"/>
            <w:tabs>
              <w:tab w:val="right" w:leader="dot" w:pos="10254"/>
            </w:tabs>
            <w:ind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_Toc13791 </w:instrText>
          </w:r>
          <w:r>
            <w:rPr>
              <w:color w:val="000000" w:themeColor="text1"/>
              <w:szCs w:val="21"/>
              <w14:textFill>
                <w14:solidFill>
                  <w14:schemeClr w14:val="tx1"/>
                </w14:solidFill>
              </w14:textFill>
            </w:rPr>
            <w:fldChar w:fldCharType="separate"/>
          </w:r>
          <w:r>
            <w:rPr>
              <w:rFonts w:hint="eastAsia"/>
              <w:color w:val="000000" w:themeColor="text1"/>
              <w:szCs w:val="32"/>
              <w14:textFill>
                <w14:solidFill>
                  <w14:schemeClr w14:val="tx1"/>
                </w14:solidFill>
              </w14:textFill>
            </w:rPr>
            <w:t>五、节能</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_Toc13791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25</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6"/>
            <w:tabs>
              <w:tab w:val="right" w:leader="dot" w:pos="10254"/>
            </w:tabs>
            <w:ind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_Toc5847 </w:instrText>
          </w:r>
          <w:r>
            <w:rPr>
              <w:color w:val="000000" w:themeColor="text1"/>
              <w:szCs w:val="21"/>
              <w14:textFill>
                <w14:solidFill>
                  <w14:schemeClr w14:val="tx1"/>
                </w14:solidFill>
              </w14:textFill>
            </w:rPr>
            <w:fldChar w:fldCharType="separate"/>
          </w:r>
          <w:r>
            <w:rPr>
              <w:rFonts w:hint="eastAsia"/>
              <w:color w:val="000000" w:themeColor="text1"/>
              <w:szCs w:val="32"/>
              <w14:textFill>
                <w14:solidFill>
                  <w14:schemeClr w14:val="tx1"/>
                </w14:solidFill>
              </w14:textFill>
            </w:rPr>
            <w:t>六、 消声、减振</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_Toc5847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26</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6"/>
            <w:tabs>
              <w:tab w:val="right" w:leader="dot" w:pos="10254"/>
            </w:tabs>
            <w:ind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_Toc8901 </w:instrText>
          </w:r>
          <w:r>
            <w:rPr>
              <w:color w:val="000000" w:themeColor="text1"/>
              <w:szCs w:val="21"/>
              <w14:textFill>
                <w14:solidFill>
                  <w14:schemeClr w14:val="tx1"/>
                </w14:solidFill>
              </w14:textFill>
            </w:rPr>
            <w:fldChar w:fldCharType="separate"/>
          </w:r>
          <w:r>
            <w:rPr>
              <w:rFonts w:hint="eastAsia"/>
              <w:color w:val="000000" w:themeColor="text1"/>
              <w:szCs w:val="32"/>
              <w14:textFill>
                <w14:solidFill>
                  <w14:schemeClr w14:val="tx1"/>
                </w14:solidFill>
              </w14:textFill>
            </w:rPr>
            <w:t>七、主要材料选用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_Toc8901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26</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6"/>
            <w:tabs>
              <w:tab w:val="right" w:leader="dot" w:pos="10254"/>
            </w:tabs>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_Toc5674 </w:instrText>
          </w:r>
          <w:r>
            <w:rPr>
              <w:color w:val="000000" w:themeColor="text1"/>
              <w:szCs w:val="21"/>
              <w14:textFill>
                <w14:solidFill>
                  <w14:schemeClr w14:val="tx1"/>
                </w14:solidFill>
              </w14:textFill>
            </w:rPr>
            <w:fldChar w:fldCharType="separate"/>
          </w:r>
          <w:r>
            <w:rPr>
              <w:rFonts w:hint="eastAsia"/>
              <w:color w:val="000000" w:themeColor="text1"/>
              <w14:textFill>
                <w14:solidFill>
                  <w14:schemeClr w14:val="tx1"/>
                </w14:solidFill>
              </w14:textFill>
            </w:rPr>
            <w:t>第十一章  环保篇章</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_Toc5674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26</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9"/>
            <w:tabs>
              <w:tab w:val="right" w:leader="dot" w:pos="10254"/>
            </w:tabs>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_Toc19291 </w:instrText>
          </w:r>
          <w:r>
            <w:rPr>
              <w:color w:val="000000" w:themeColor="text1"/>
              <w:szCs w:val="21"/>
              <w14:textFill>
                <w14:solidFill>
                  <w14:schemeClr w14:val="tx1"/>
                </w14:solidFill>
              </w14:textFill>
            </w:rPr>
            <w:fldChar w:fldCharType="separate"/>
          </w:r>
          <w:r>
            <w:rPr>
              <w:rFonts w:hint="eastAsia"/>
              <w:color w:val="000000" w:themeColor="text1"/>
              <w14:textFill>
                <w14:solidFill>
                  <w14:schemeClr w14:val="tx1"/>
                </w14:solidFill>
              </w14:textFill>
            </w:rPr>
            <w:t>11.1建筑设计措施</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_Toc19291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26</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9"/>
            <w:tabs>
              <w:tab w:val="right" w:leader="dot" w:pos="10254"/>
            </w:tabs>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_Toc16091 </w:instrText>
          </w:r>
          <w:r>
            <w:rPr>
              <w:color w:val="000000" w:themeColor="text1"/>
              <w:szCs w:val="21"/>
              <w14:textFill>
                <w14:solidFill>
                  <w14:schemeClr w14:val="tx1"/>
                </w14:solidFill>
              </w14:textFill>
            </w:rPr>
            <w:fldChar w:fldCharType="separate"/>
          </w:r>
          <w:r>
            <w:rPr>
              <w:rFonts w:hint="eastAsia"/>
              <w:color w:val="000000" w:themeColor="text1"/>
              <w14:textFill>
                <w14:solidFill>
                  <w14:schemeClr w14:val="tx1"/>
                </w14:solidFill>
              </w14:textFill>
            </w:rPr>
            <w:t>11.2给排水环保保护</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_Toc16091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27</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9"/>
            <w:tabs>
              <w:tab w:val="right" w:leader="dot" w:pos="10254"/>
            </w:tabs>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_Toc10127 </w:instrText>
          </w:r>
          <w:r>
            <w:rPr>
              <w:color w:val="000000" w:themeColor="text1"/>
              <w:szCs w:val="21"/>
              <w14:textFill>
                <w14:solidFill>
                  <w14:schemeClr w14:val="tx1"/>
                </w14:solidFill>
              </w14:textFill>
            </w:rPr>
            <w:fldChar w:fldCharType="separate"/>
          </w:r>
          <w:r>
            <w:rPr>
              <w:rFonts w:hint="eastAsia"/>
              <w:color w:val="000000" w:themeColor="text1"/>
              <w14:textFill>
                <w14:solidFill>
                  <w14:schemeClr w14:val="tx1"/>
                </w14:solidFill>
              </w14:textFill>
            </w:rPr>
            <w:t>11.3 充电桩</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_Toc10127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27</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9"/>
            <w:tabs>
              <w:tab w:val="right" w:leader="dot" w:pos="10254"/>
            </w:tabs>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_Toc28297 </w:instrText>
          </w:r>
          <w:r>
            <w:rPr>
              <w:color w:val="000000" w:themeColor="text1"/>
              <w:szCs w:val="21"/>
              <w14:textFill>
                <w14:solidFill>
                  <w14:schemeClr w14:val="tx1"/>
                </w14:solidFill>
              </w14:textFill>
            </w:rPr>
            <w:fldChar w:fldCharType="separate"/>
          </w:r>
          <w:r>
            <w:rPr>
              <w:rFonts w:hint="eastAsia"/>
              <w:color w:val="000000" w:themeColor="text1"/>
              <w14:textFill>
                <w14:solidFill>
                  <w14:schemeClr w14:val="tx1"/>
                </w14:solidFill>
              </w14:textFill>
            </w:rPr>
            <w:t>11.4 雨水花园</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_Toc28297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27</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9"/>
            <w:tabs>
              <w:tab w:val="right" w:leader="dot" w:pos="10254"/>
            </w:tabs>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_Toc30278 </w:instrText>
          </w:r>
          <w:r>
            <w:rPr>
              <w:color w:val="000000" w:themeColor="text1"/>
              <w:szCs w:val="21"/>
              <w14:textFill>
                <w14:solidFill>
                  <w14:schemeClr w14:val="tx1"/>
                </w14:solidFill>
              </w14:textFill>
            </w:rPr>
            <w:fldChar w:fldCharType="separate"/>
          </w:r>
          <w:r>
            <w:rPr>
              <w:rFonts w:hint="eastAsia"/>
              <w:color w:val="000000" w:themeColor="text1"/>
              <w14:textFill>
                <w14:solidFill>
                  <w14:schemeClr w14:val="tx1"/>
                </w14:solidFill>
              </w14:textFill>
            </w:rPr>
            <w:t>11.5 中水合用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_Toc30278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28</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6"/>
            <w:tabs>
              <w:tab w:val="right" w:leader="dot" w:pos="10254"/>
            </w:tabs>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_Toc26944 </w:instrText>
          </w:r>
          <w:r>
            <w:rPr>
              <w:color w:val="000000" w:themeColor="text1"/>
              <w:szCs w:val="21"/>
              <w14:textFill>
                <w14:solidFill>
                  <w14:schemeClr w14:val="tx1"/>
                </w14:solidFill>
              </w14:textFill>
            </w:rPr>
            <w:fldChar w:fldCharType="separate"/>
          </w:r>
          <w:r>
            <w:rPr>
              <w:rFonts w:hint="eastAsia"/>
              <w:color w:val="000000" w:themeColor="text1"/>
              <w14:textFill>
                <w14:solidFill>
                  <w14:schemeClr w14:val="tx1"/>
                </w14:solidFill>
              </w14:textFill>
            </w:rPr>
            <w:t>第十二章   节能设计说明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_Toc26944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28</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9"/>
            <w:tabs>
              <w:tab w:val="right" w:leader="dot" w:pos="10254"/>
            </w:tabs>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_Toc20784 </w:instrText>
          </w:r>
          <w:r>
            <w:rPr>
              <w:color w:val="000000" w:themeColor="text1"/>
              <w:szCs w:val="21"/>
              <w14:textFill>
                <w14:solidFill>
                  <w14:schemeClr w14:val="tx1"/>
                </w14:solidFill>
              </w14:textFill>
            </w:rPr>
            <w:fldChar w:fldCharType="separate"/>
          </w:r>
          <w:r>
            <w:rPr>
              <w:rFonts w:hint="eastAsia"/>
              <w:color w:val="000000" w:themeColor="text1"/>
              <w14:textFill>
                <w14:solidFill>
                  <w14:schemeClr w14:val="tx1"/>
                </w14:solidFill>
              </w14:textFill>
            </w:rPr>
            <w:t>12.1设计依据</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_Toc20784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28</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9"/>
            <w:tabs>
              <w:tab w:val="right" w:leader="dot" w:pos="10254"/>
            </w:tabs>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_Toc30840 </w:instrText>
          </w:r>
          <w:r>
            <w:rPr>
              <w:color w:val="000000" w:themeColor="text1"/>
              <w:szCs w:val="21"/>
              <w14:textFill>
                <w14:solidFill>
                  <w14:schemeClr w14:val="tx1"/>
                </w14:solidFill>
              </w14:textFill>
            </w:rPr>
            <w:fldChar w:fldCharType="separate"/>
          </w:r>
          <w:r>
            <w:rPr>
              <w:rFonts w:hint="eastAsia"/>
              <w:color w:val="000000" w:themeColor="text1"/>
              <w14:textFill>
                <w14:solidFill>
                  <w14:schemeClr w14:val="tx1"/>
                </w14:solidFill>
              </w14:textFill>
            </w:rPr>
            <w:t>12.2建筑节能设计措施</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_Toc30840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28</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9"/>
            <w:tabs>
              <w:tab w:val="right" w:leader="dot" w:pos="10254"/>
            </w:tabs>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_Toc16450 </w:instrText>
          </w:r>
          <w:r>
            <w:rPr>
              <w:color w:val="000000" w:themeColor="text1"/>
              <w:szCs w:val="21"/>
              <w14:textFill>
                <w14:solidFill>
                  <w14:schemeClr w14:val="tx1"/>
                </w14:solidFill>
              </w14:textFill>
            </w:rPr>
            <w:fldChar w:fldCharType="separate"/>
          </w:r>
          <w:r>
            <w:rPr>
              <w:rFonts w:hint="eastAsia"/>
              <w:color w:val="000000" w:themeColor="text1"/>
              <w14:textFill>
                <w14:solidFill>
                  <w14:schemeClr w14:val="tx1"/>
                </w14:solidFill>
              </w14:textFill>
            </w:rPr>
            <w:t>12.3给排水节能设计措施</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_Toc16450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29</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6"/>
            <w:tabs>
              <w:tab w:val="right" w:leader="dot" w:pos="10254"/>
            </w:tabs>
            <w:ind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_Toc24366 </w:instrText>
          </w:r>
          <w:r>
            <w:rPr>
              <w:color w:val="000000" w:themeColor="text1"/>
              <w:szCs w:val="21"/>
              <w14:textFill>
                <w14:solidFill>
                  <w14:schemeClr w14:val="tx1"/>
                </w14:solidFill>
              </w14:textFill>
            </w:rPr>
            <w:fldChar w:fldCharType="separate"/>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12.4电气节能设计措施</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_Toc24366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30</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6"/>
            <w:tabs>
              <w:tab w:val="right" w:leader="dot" w:pos="10254"/>
            </w:tabs>
            <w:ind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_Toc20989 </w:instrText>
          </w:r>
          <w:r>
            <w:rPr>
              <w:color w:val="000000" w:themeColor="text1"/>
              <w:szCs w:val="21"/>
              <w14:textFill>
                <w14:solidFill>
                  <w14:schemeClr w14:val="tx1"/>
                </w14:solidFill>
              </w14:textFill>
            </w:rPr>
            <w:fldChar w:fldCharType="separate"/>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12.5通风空调节能设计措施</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_Toc20989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31</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6"/>
            <w:tabs>
              <w:tab w:val="right" w:leader="dot" w:pos="10254"/>
            </w:tabs>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_Toc13194 </w:instrText>
          </w:r>
          <w:r>
            <w:rPr>
              <w:color w:val="000000" w:themeColor="text1"/>
              <w:szCs w:val="21"/>
              <w14:textFill>
                <w14:solidFill>
                  <w14:schemeClr w14:val="tx1"/>
                </w14:solidFill>
              </w14:textFill>
            </w:rPr>
            <w:fldChar w:fldCharType="separate"/>
          </w:r>
          <w:r>
            <w:rPr>
              <w:rFonts w:hint="eastAsia"/>
              <w:color w:val="000000" w:themeColor="text1"/>
              <w14:textFill>
                <w14:solidFill>
                  <w14:schemeClr w14:val="tx1"/>
                </w14:solidFill>
              </w14:textFill>
            </w:rPr>
            <w:t>第十三章   绿色建筑设计说明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_Toc13194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32</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6"/>
            <w:tabs>
              <w:tab w:val="right" w:leader="dot" w:pos="10254"/>
            </w:tabs>
            <w:ind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_Toc9959 </w:instrText>
          </w:r>
          <w:r>
            <w:rPr>
              <w:color w:val="000000" w:themeColor="text1"/>
              <w:szCs w:val="21"/>
              <w14:textFill>
                <w14:solidFill>
                  <w14:schemeClr w14:val="tx1"/>
                </w14:solidFill>
              </w14:textFill>
            </w:rPr>
            <w:fldChar w:fldCharType="separate"/>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13.1设计依据</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_Toc9959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32</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6"/>
            <w:tabs>
              <w:tab w:val="right" w:leader="dot" w:pos="10254"/>
            </w:tabs>
            <w:ind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_Toc29424 </w:instrText>
          </w:r>
          <w:r>
            <w:rPr>
              <w:color w:val="000000" w:themeColor="text1"/>
              <w:szCs w:val="21"/>
              <w14:textFill>
                <w14:solidFill>
                  <w14:schemeClr w14:val="tx1"/>
                </w14:solidFill>
              </w14:textFill>
            </w:rPr>
            <w:fldChar w:fldCharType="separate"/>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13.2设计理念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_Toc29424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32</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6"/>
            <w:tabs>
              <w:tab w:val="right" w:leader="dot" w:pos="10254"/>
            </w:tabs>
            <w:ind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_Toc4584 </w:instrText>
          </w:r>
          <w:r>
            <w:rPr>
              <w:color w:val="000000" w:themeColor="text1"/>
              <w:szCs w:val="21"/>
              <w14:textFill>
                <w14:solidFill>
                  <w14:schemeClr w14:val="tx1"/>
                </w14:solidFill>
              </w14:textFill>
            </w:rPr>
            <w:fldChar w:fldCharType="separate"/>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13.3绿色建筑目标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_Toc4584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32</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6"/>
            <w:tabs>
              <w:tab w:val="right" w:leader="dot" w:pos="10254"/>
            </w:tabs>
            <w:ind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_Toc2932 </w:instrText>
          </w:r>
          <w:r>
            <w:rPr>
              <w:color w:val="000000" w:themeColor="text1"/>
              <w:szCs w:val="21"/>
              <w14:textFill>
                <w14:solidFill>
                  <w14:schemeClr w14:val="tx1"/>
                </w14:solidFill>
              </w14:textFill>
            </w:rPr>
            <w:fldChar w:fldCharType="separate"/>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13.4给排水绿色设计措施</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_Toc2932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32</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6"/>
            <w:tabs>
              <w:tab w:val="right" w:leader="dot" w:pos="10254"/>
            </w:tabs>
            <w:ind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_Toc15461 </w:instrText>
          </w:r>
          <w:r>
            <w:rPr>
              <w:color w:val="000000" w:themeColor="text1"/>
              <w:szCs w:val="21"/>
              <w14:textFill>
                <w14:solidFill>
                  <w14:schemeClr w14:val="tx1"/>
                </w14:solidFill>
              </w14:textFill>
            </w:rPr>
            <w:fldChar w:fldCharType="separate"/>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13.5电气绿色设计措施</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_Toc15461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33</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pStyle w:val="16"/>
            <w:tabs>
              <w:tab w:val="right" w:leader="dot" w:pos="10254"/>
            </w:tabs>
            <w:ind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\l _Toc11779 </w:instrText>
          </w:r>
          <w:r>
            <w:rPr>
              <w:color w:val="000000" w:themeColor="text1"/>
              <w:szCs w:val="21"/>
              <w14:textFill>
                <w14:solidFill>
                  <w14:schemeClr w14:val="tx1"/>
                </w14:solidFill>
              </w14:textFill>
            </w:rPr>
            <w:fldChar w:fldCharType="separate"/>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13.6通风空调绿色设计措施</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_Toc11779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34</w:t>
          </w:r>
          <w:r>
            <w:rPr>
              <w:color w:val="000000" w:themeColor="text1"/>
              <w14:textFill>
                <w14:solidFill>
                  <w14:schemeClr w14:val="tx1"/>
                </w14:solidFill>
              </w14:textFill>
            </w:rPr>
            <w:fldChar w:fldCharType="end"/>
          </w:r>
          <w:r>
            <w:rPr>
              <w:color w:val="000000" w:themeColor="text1"/>
              <w:szCs w:val="21"/>
              <w14:textFill>
                <w14:solidFill>
                  <w14:schemeClr w14:val="tx1"/>
                </w14:solidFill>
              </w14:textFill>
            </w:rPr>
            <w:fldChar w:fldCharType="end"/>
          </w:r>
        </w:p>
        <w:p>
          <w:pPr>
            <w:rPr>
              <w:color w:val="000000" w:themeColor="text1"/>
              <w:sz w:val="24"/>
              <w14:textFill>
                <w14:solidFill>
                  <w14:schemeClr w14:val="tx1"/>
                </w14:solidFill>
              </w14:textFill>
            </w:rPr>
          </w:pPr>
          <w:r>
            <w:rPr>
              <w:color w:val="000000" w:themeColor="text1"/>
              <w:szCs w:val="21"/>
              <w14:textFill>
                <w14:solidFill>
                  <w14:schemeClr w14:val="tx1"/>
                </w14:solidFill>
              </w14:textFill>
            </w:rPr>
            <w:fldChar w:fldCharType="end"/>
          </w:r>
        </w:p>
      </w:sdtContent>
    </w:sdt>
    <w:p>
      <w:pPr>
        <w:rPr>
          <w:color w:val="000000" w:themeColor="text1"/>
          <w14:textFill>
            <w14:solidFill>
              <w14:schemeClr w14:val="tx1"/>
            </w14:solidFill>
          </w14:textFill>
        </w:rPr>
      </w:pPr>
    </w:p>
    <w:p>
      <w:pPr>
        <w:rPr>
          <w:color w:val="000000" w:themeColor="text1"/>
          <w14:textFill>
            <w14:solidFill>
              <w14:schemeClr w14:val="tx1"/>
            </w14:solidFill>
          </w14:textFill>
        </w:rPr>
      </w:pPr>
      <w:bookmarkStart w:id="0" w:name="_Toc4717_WPSOffice_Level1"/>
    </w:p>
    <w:p>
      <w:pPr>
        <w:pStyle w:val="2"/>
        <w:ind w:firstLine="3092" w:firstLineChars="700"/>
        <w:rPr>
          <w:color w:val="000000" w:themeColor="text1"/>
          <w14:textFill>
            <w14:solidFill>
              <w14:schemeClr w14:val="tx1"/>
            </w14:solidFill>
          </w14:textFill>
        </w:rPr>
      </w:pPr>
      <w:bookmarkStart w:id="1" w:name="_Toc29060"/>
      <w:r>
        <w:rPr>
          <w:rFonts w:hint="eastAsia"/>
          <w:color w:val="000000" w:themeColor="text1"/>
          <w14:textFill>
            <w14:solidFill>
              <w14:schemeClr w14:val="tx1"/>
            </w14:solidFill>
          </w14:textFill>
        </w:rPr>
        <w:t>第一章  规划设计依据</w:t>
      </w:r>
      <w:bookmarkEnd w:id="0"/>
      <w:bookmarkEnd w:id="1"/>
    </w:p>
    <w:p>
      <w:pPr>
        <w:pStyle w:val="7"/>
        <w:spacing w:line="312" w:lineRule="auto"/>
        <w:ind w:firstLine="0" w:firstLineChars="0"/>
        <w:jc w:val="left"/>
        <w:rPr>
          <w:rFonts w:asciiTheme="minorEastAsia" w:hAnsiTheme="minorEastAsia" w:eastAsiaTheme="minorEastAsia" w:cstheme="minorEastAsia"/>
          <w:caps/>
          <w:color w:val="000000" w:themeColor="text1"/>
          <w14:textFill>
            <w14:solidFill>
              <w14:schemeClr w14:val="tx1"/>
            </w14:solidFill>
          </w14:textFill>
        </w:rPr>
      </w:pPr>
      <w:bookmarkStart w:id="2" w:name="_Toc25091_WPSOffice_Level2"/>
      <w:bookmarkStart w:id="3" w:name="_Toc9141_WPSOffice_Level2"/>
      <w:bookmarkStart w:id="4" w:name="_Toc29581_WPSOffice_Level2"/>
      <w:r>
        <w:rPr>
          <w:rFonts w:hint="eastAsia" w:asciiTheme="minorEastAsia" w:hAnsiTheme="minorEastAsia" w:eastAsiaTheme="minorEastAsia" w:cstheme="minorEastAsia"/>
          <w:caps/>
          <w:color w:val="000000" w:themeColor="text1"/>
          <w14:textFill>
            <w14:solidFill>
              <w14:schemeClr w14:val="tx1"/>
            </w14:solidFill>
          </w14:textFill>
        </w:rPr>
        <w:t>1. 《大理</w:t>
      </w:r>
      <w:r>
        <w:rPr>
          <w:rFonts w:hint="eastAsia" w:asciiTheme="minorEastAsia" w:hAnsiTheme="minorEastAsia" w:eastAsiaTheme="minorEastAsia" w:cstheme="minorEastAsia"/>
          <w:caps/>
          <w:color w:val="000000" w:themeColor="text1"/>
          <w:lang w:val="en-US" w:eastAsia="zh-CN"/>
          <w14:textFill>
            <w14:solidFill>
              <w14:schemeClr w14:val="tx1"/>
            </w14:solidFill>
          </w14:textFill>
        </w:rPr>
        <w:t>州</w:t>
      </w:r>
      <w:r>
        <w:rPr>
          <w:rFonts w:hint="eastAsia" w:asciiTheme="minorEastAsia" w:hAnsiTheme="minorEastAsia" w:eastAsiaTheme="minorEastAsia" w:cstheme="minorEastAsia"/>
          <w:caps/>
          <w:color w:val="000000" w:themeColor="text1"/>
          <w14:textFill>
            <w14:solidFill>
              <w14:schemeClr w14:val="tx1"/>
            </w14:solidFill>
          </w14:textFill>
        </w:rPr>
        <w:t>城市</w:t>
      </w:r>
      <w:r>
        <w:rPr>
          <w:rFonts w:hint="eastAsia" w:asciiTheme="minorEastAsia" w:hAnsiTheme="minorEastAsia" w:eastAsiaTheme="minorEastAsia" w:cstheme="minorEastAsia"/>
          <w:caps/>
          <w:color w:val="000000" w:themeColor="text1"/>
          <w:lang w:val="en-US" w:eastAsia="zh-CN"/>
          <w14:textFill>
            <w14:solidFill>
              <w14:schemeClr w14:val="tx1"/>
            </w14:solidFill>
          </w14:textFill>
        </w:rPr>
        <w:t>建设项目</w:t>
      </w:r>
      <w:r>
        <w:rPr>
          <w:rFonts w:hint="eastAsia" w:asciiTheme="minorEastAsia" w:hAnsiTheme="minorEastAsia" w:eastAsiaTheme="minorEastAsia" w:cstheme="minorEastAsia"/>
          <w:caps/>
          <w:color w:val="000000" w:themeColor="text1"/>
          <w14:textFill>
            <w14:solidFill>
              <w14:schemeClr w14:val="tx1"/>
            </w14:solidFill>
          </w14:textFill>
        </w:rPr>
        <w:t>规划管理技术规定》</w:t>
      </w:r>
      <w:bookmarkEnd w:id="2"/>
    </w:p>
    <w:p>
      <w:pPr>
        <w:pStyle w:val="7"/>
        <w:spacing w:line="312" w:lineRule="auto"/>
        <w:ind w:firstLine="0" w:firstLineChars="0"/>
        <w:jc w:val="left"/>
        <w:rPr>
          <w:rFonts w:asciiTheme="minorEastAsia" w:hAnsiTheme="minorEastAsia" w:eastAsiaTheme="minorEastAsia" w:cstheme="minorEastAsia"/>
          <w:caps/>
          <w:color w:val="000000" w:themeColor="text1"/>
          <w14:textFill>
            <w14:solidFill>
              <w14:schemeClr w14:val="tx1"/>
            </w14:solidFill>
          </w14:textFill>
        </w:rPr>
      </w:pPr>
      <w:r>
        <w:rPr>
          <w:rFonts w:hint="eastAsia" w:asciiTheme="minorEastAsia" w:hAnsiTheme="minorEastAsia" w:eastAsiaTheme="minorEastAsia" w:cstheme="minorEastAsia"/>
          <w:caps/>
          <w:color w:val="000000" w:themeColor="text1"/>
          <w14:textFill>
            <w14:solidFill>
              <w14:schemeClr w14:val="tx1"/>
            </w14:solidFill>
          </w14:textFill>
        </w:rPr>
        <w:t>2. 《弥渡县城乡总体规划》（2017-2035）</w:t>
      </w:r>
      <w:bookmarkEnd w:id="3"/>
      <w:bookmarkEnd w:id="4"/>
    </w:p>
    <w:p>
      <w:pPr>
        <w:pStyle w:val="7"/>
        <w:spacing w:line="312" w:lineRule="auto"/>
        <w:ind w:firstLine="0" w:firstLineChars="0"/>
        <w:jc w:val="left"/>
        <w:rPr>
          <w:rFonts w:asciiTheme="minorEastAsia" w:hAnsiTheme="minorEastAsia" w:eastAsiaTheme="minorEastAsia" w:cstheme="minorEastAsia"/>
          <w:caps/>
          <w:color w:val="000000" w:themeColor="text1"/>
          <w14:textFill>
            <w14:solidFill>
              <w14:schemeClr w14:val="tx1"/>
            </w14:solidFill>
          </w14:textFill>
        </w:rPr>
      </w:pPr>
      <w:bookmarkStart w:id="5" w:name="_Toc21131_WPSOffice_Level2"/>
      <w:bookmarkStart w:id="6" w:name="_Toc9815_WPSOffice_Level2"/>
      <w:r>
        <w:rPr>
          <w:rFonts w:hint="eastAsia" w:asciiTheme="minorEastAsia" w:hAnsiTheme="minorEastAsia" w:eastAsiaTheme="minorEastAsia" w:cstheme="minorEastAsia"/>
          <w:caps/>
          <w:color w:val="000000" w:themeColor="text1"/>
          <w14:textFill>
            <w14:solidFill>
              <w14:schemeClr w14:val="tx1"/>
            </w14:solidFill>
          </w14:textFill>
        </w:rPr>
        <w:t>3. 《弥渡县近期建设规划》（2016-2020）</w:t>
      </w:r>
      <w:bookmarkEnd w:id="5"/>
      <w:bookmarkEnd w:id="6"/>
    </w:p>
    <w:p>
      <w:pPr>
        <w:pStyle w:val="7"/>
        <w:spacing w:line="312" w:lineRule="auto"/>
        <w:ind w:firstLine="0" w:firstLineChars="0"/>
        <w:jc w:val="left"/>
        <w:rPr>
          <w:rFonts w:asciiTheme="minorEastAsia" w:hAnsiTheme="minorEastAsia" w:eastAsiaTheme="minorEastAsia" w:cstheme="minorEastAsia"/>
          <w:caps/>
          <w:color w:val="000000" w:themeColor="text1"/>
          <w14:textFill>
            <w14:solidFill>
              <w14:schemeClr w14:val="tx1"/>
            </w14:solidFill>
          </w14:textFill>
        </w:rPr>
      </w:pPr>
      <w:bookmarkStart w:id="7" w:name="_Toc15827_WPSOffice_Level2"/>
      <w:bookmarkStart w:id="8" w:name="_Toc3611_WPSOffice_Level2"/>
      <w:r>
        <w:rPr>
          <w:rFonts w:hint="eastAsia" w:asciiTheme="minorEastAsia" w:hAnsiTheme="minorEastAsia" w:eastAsiaTheme="minorEastAsia" w:cstheme="minorEastAsia"/>
          <w:caps/>
          <w:color w:val="000000" w:themeColor="text1"/>
          <w14:textFill>
            <w14:solidFill>
              <w14:schemeClr w14:val="tx1"/>
            </w14:solidFill>
          </w14:textFill>
        </w:rPr>
        <w:t>4. 弥渡县项目建设规划控制要求表及1:500电子红线图；</w:t>
      </w:r>
      <w:bookmarkEnd w:id="7"/>
      <w:bookmarkEnd w:id="8"/>
    </w:p>
    <w:p>
      <w:pPr>
        <w:pStyle w:val="7"/>
        <w:spacing w:line="312" w:lineRule="auto"/>
        <w:ind w:firstLine="0" w:firstLineChars="0"/>
        <w:jc w:val="left"/>
        <w:rPr>
          <w:rFonts w:asciiTheme="minorEastAsia" w:hAnsiTheme="minorEastAsia" w:eastAsiaTheme="minorEastAsia" w:cstheme="minorEastAsia"/>
          <w:caps/>
          <w:color w:val="000000" w:themeColor="text1"/>
          <w14:textFill>
            <w14:solidFill>
              <w14:schemeClr w14:val="tx1"/>
            </w14:solidFill>
          </w14:textFill>
        </w:rPr>
      </w:pPr>
      <w:bookmarkStart w:id="9" w:name="_Toc18251_WPSOffice_Level2"/>
      <w:bookmarkStart w:id="10" w:name="_Toc1492_WPSOffice_Level2"/>
      <w:r>
        <w:rPr>
          <w:rFonts w:hint="eastAsia" w:asciiTheme="minorEastAsia" w:hAnsiTheme="minorEastAsia" w:eastAsiaTheme="minorEastAsia" w:cstheme="minorEastAsia"/>
          <w:caps/>
          <w:color w:val="000000" w:themeColor="text1"/>
          <w14:textFill>
            <w14:solidFill>
              <w14:schemeClr w14:val="tx1"/>
            </w14:solidFill>
          </w14:textFill>
        </w:rPr>
        <w:t>5. 国家及地方有关规范、政策、法规、条例。</w:t>
      </w:r>
      <w:bookmarkEnd w:id="9"/>
      <w:bookmarkEnd w:id="10"/>
    </w:p>
    <w:p>
      <w:pPr>
        <w:pStyle w:val="2"/>
        <w:jc w:val="center"/>
        <w:rPr>
          <w:color w:val="000000" w:themeColor="text1"/>
          <w14:textFill>
            <w14:solidFill>
              <w14:schemeClr w14:val="tx1"/>
            </w14:solidFill>
          </w14:textFill>
        </w:rPr>
      </w:pPr>
      <w:bookmarkStart w:id="11" w:name="_Toc20159"/>
      <w:bookmarkStart w:id="12" w:name="_Toc25091_WPSOffice_Level1"/>
      <w:r>
        <w:rPr>
          <w:rFonts w:hint="eastAsia"/>
          <w:color w:val="000000" w:themeColor="text1"/>
          <w14:textFill>
            <w14:solidFill>
              <w14:schemeClr w14:val="tx1"/>
            </w14:solidFill>
          </w14:textFill>
        </w:rPr>
        <w:t>第二章  概况背景</w:t>
      </w:r>
      <w:bookmarkEnd w:id="11"/>
      <w:bookmarkEnd w:id="12"/>
    </w:p>
    <w:p>
      <w:pPr>
        <w:pStyle w:val="3"/>
        <w:rPr>
          <w:color w:val="000000" w:themeColor="text1"/>
          <w14:textFill>
            <w14:solidFill>
              <w14:schemeClr w14:val="tx1"/>
            </w14:solidFill>
          </w14:textFill>
        </w:rPr>
      </w:pPr>
      <w:bookmarkStart w:id="13" w:name="_Toc10132"/>
      <w:bookmarkStart w:id="14" w:name="_Toc4851_WPSOffice_Level2"/>
      <w:r>
        <w:rPr>
          <w:rFonts w:hint="eastAsia"/>
          <w:color w:val="000000" w:themeColor="text1"/>
          <w14:textFill>
            <w14:solidFill>
              <w14:schemeClr w14:val="tx1"/>
            </w14:solidFill>
          </w14:textFill>
        </w:rPr>
        <w:t>2.1 项目背景及概况</w:t>
      </w:r>
      <w:bookmarkEnd w:id="13"/>
      <w:bookmarkEnd w:id="14"/>
    </w:p>
    <w:p>
      <w:pPr>
        <w:pStyle w:val="7"/>
        <w:spacing w:line="312" w:lineRule="auto"/>
        <w:ind w:firstLine="0" w:firstLineChars="0"/>
        <w:jc w:val="left"/>
        <w:rPr>
          <w:rFonts w:asciiTheme="minorEastAsia" w:hAnsiTheme="minorEastAsia" w:eastAsiaTheme="minorEastAsia" w:cstheme="minorEastAsia"/>
          <w:b/>
          <w:caps/>
          <w:color w:val="000000" w:themeColor="text1"/>
          <w14:textFill>
            <w14:solidFill>
              <w14:schemeClr w14:val="tx1"/>
            </w14:solidFill>
          </w14:textFill>
        </w:rPr>
      </w:pPr>
      <w:r>
        <w:rPr>
          <w:rFonts w:hint="eastAsia" w:asciiTheme="minorEastAsia" w:hAnsiTheme="minorEastAsia" w:eastAsiaTheme="minorEastAsia" w:cstheme="minorEastAsia"/>
          <w:b/>
          <w:caps/>
          <w:color w:val="000000" w:themeColor="text1"/>
          <w14:textFill>
            <w14:solidFill>
              <w14:schemeClr w14:val="tx1"/>
            </w14:solidFill>
          </w14:textFill>
        </w:rPr>
        <w:t>2.1.1项目概况</w:t>
      </w:r>
    </w:p>
    <w:p>
      <w:pPr>
        <w:pStyle w:val="7"/>
        <w:spacing w:line="312" w:lineRule="auto"/>
        <w:ind w:firstLine="640" w:firstLineChars="200"/>
        <w:jc w:val="left"/>
        <w:rPr>
          <w:rFonts w:hint="eastAsia" w:asciiTheme="minorEastAsia" w:hAnsiTheme="minorEastAsia" w:eastAsiaTheme="minorEastAsia" w:cstheme="minorEastAsia"/>
          <w:caps/>
          <w:color w:val="000000" w:themeColor="text1"/>
          <w14:textFill>
            <w14:solidFill>
              <w14:schemeClr w14:val="tx1"/>
            </w14:solidFill>
          </w14:textFill>
        </w:rPr>
      </w:pPr>
      <w:r>
        <w:rPr>
          <w:rFonts w:hint="eastAsia" w:asciiTheme="minorEastAsia" w:hAnsiTheme="minorEastAsia" w:eastAsiaTheme="minorEastAsia" w:cstheme="minorEastAsia"/>
          <w:caps/>
          <w:color w:val="000000" w:themeColor="text1"/>
          <w14:textFill>
            <w14:solidFill>
              <w14:schemeClr w14:val="tx1"/>
            </w14:solidFill>
          </w14:textFill>
        </w:rPr>
        <w:t>项目名称：云南省大理州弥渡县弥城中学建设项目</w:t>
      </w:r>
    </w:p>
    <w:p>
      <w:pPr>
        <w:pStyle w:val="7"/>
        <w:spacing w:line="312" w:lineRule="auto"/>
        <w:ind w:firstLine="640" w:firstLineChars="200"/>
        <w:jc w:val="left"/>
        <w:rPr>
          <w:rFonts w:asciiTheme="minorEastAsia" w:hAnsiTheme="minorEastAsia" w:eastAsiaTheme="minorEastAsia" w:cstheme="minorEastAsia"/>
          <w:caps/>
          <w:color w:val="000000" w:themeColor="text1"/>
          <w14:textFill>
            <w14:solidFill>
              <w14:schemeClr w14:val="tx1"/>
            </w14:solidFill>
          </w14:textFill>
        </w:rPr>
      </w:pPr>
      <w:r>
        <w:rPr>
          <w:rFonts w:hint="eastAsia" w:asciiTheme="minorEastAsia" w:hAnsiTheme="minorEastAsia" w:eastAsiaTheme="minorEastAsia" w:cstheme="minorEastAsia"/>
          <w:caps/>
          <w:color w:val="000000" w:themeColor="text1"/>
          <w14:textFill>
            <w14:solidFill>
              <w14:schemeClr w14:val="tx1"/>
            </w14:solidFill>
          </w14:textFill>
        </w:rPr>
        <w:t>建设地点：</w:t>
      </w:r>
      <w:r>
        <w:rPr>
          <w:rFonts w:hint="eastAsia" w:asciiTheme="minorEastAsia" w:hAnsiTheme="minorEastAsia" w:eastAsiaTheme="minorEastAsia" w:cstheme="minorEastAsia"/>
          <w:caps/>
          <w:color w:val="000000" w:themeColor="text1"/>
          <w:lang w:val="en-US" w:eastAsia="zh-CN"/>
          <w14:textFill>
            <w14:solidFill>
              <w14:schemeClr w14:val="tx1"/>
            </w14:solidFill>
          </w14:textFill>
        </w:rPr>
        <w:t>弥城中学西南方向，原粮食局和烟草公司用地。</w:t>
      </w:r>
    </w:p>
    <w:p>
      <w:pPr>
        <w:pStyle w:val="7"/>
        <w:spacing w:line="312" w:lineRule="auto"/>
        <w:ind w:firstLine="640" w:firstLineChars="200"/>
        <w:jc w:val="left"/>
        <w:rPr>
          <w:rFonts w:asciiTheme="minorEastAsia" w:hAnsiTheme="minorEastAsia" w:eastAsiaTheme="minorEastAsia" w:cstheme="minorEastAsia"/>
          <w:caps/>
          <w:color w:val="000000" w:themeColor="text1"/>
          <w14:textFill>
            <w14:solidFill>
              <w14:schemeClr w14:val="tx1"/>
            </w14:solidFill>
          </w14:textFill>
        </w:rPr>
      </w:pPr>
      <w:r>
        <w:rPr>
          <w:rFonts w:hint="eastAsia" w:asciiTheme="minorEastAsia" w:hAnsiTheme="minorEastAsia" w:eastAsiaTheme="minorEastAsia" w:cstheme="minorEastAsia"/>
          <w:caps/>
          <w:color w:val="000000" w:themeColor="text1"/>
          <w14:textFill>
            <w14:solidFill>
              <w14:schemeClr w14:val="tx1"/>
            </w14:solidFill>
          </w14:textFill>
        </w:rPr>
        <w:t>用地性质：教育用地</w:t>
      </w:r>
    </w:p>
    <w:p>
      <w:pPr>
        <w:pStyle w:val="7"/>
        <w:spacing w:line="312" w:lineRule="auto"/>
        <w:ind w:firstLine="640" w:firstLineChars="200"/>
        <w:jc w:val="left"/>
        <w:rPr>
          <w:rFonts w:asciiTheme="minorEastAsia" w:hAnsiTheme="minorEastAsia" w:eastAsiaTheme="minorEastAsia" w:cstheme="minorEastAsia"/>
          <w:caps/>
          <w:color w:val="000000" w:themeColor="text1"/>
          <w14:textFill>
            <w14:solidFill>
              <w14:schemeClr w14:val="tx1"/>
            </w14:solidFill>
          </w14:textFill>
        </w:rPr>
      </w:pPr>
      <w:r>
        <w:rPr>
          <w:rFonts w:hint="eastAsia" w:asciiTheme="minorEastAsia" w:hAnsiTheme="minorEastAsia" w:eastAsiaTheme="minorEastAsia" w:cstheme="minorEastAsia"/>
          <w:caps/>
          <w:color w:val="000000" w:themeColor="text1"/>
          <w14:textFill>
            <w14:solidFill>
              <w14:schemeClr w14:val="tx1"/>
            </w14:solidFill>
          </w14:textFill>
        </w:rPr>
        <w:t>用地面积：</w:t>
      </w:r>
      <w:r>
        <w:rPr>
          <w:rFonts w:hint="eastAsia" w:asciiTheme="minorEastAsia" w:hAnsiTheme="minorEastAsia" w:eastAsiaTheme="minorEastAsia" w:cstheme="minorEastAsia"/>
          <w:caps/>
          <w:color w:val="000000" w:themeColor="text1"/>
          <w:lang w:val="en-US" w:eastAsia="zh-CN"/>
          <w14:textFill>
            <w14:solidFill>
              <w14:schemeClr w14:val="tx1"/>
            </w14:solidFill>
          </w14:textFill>
        </w:rPr>
        <w:t>31147.66</w:t>
      </w:r>
      <w:r>
        <w:rPr>
          <w:rFonts w:hint="eastAsia" w:asciiTheme="minorEastAsia" w:hAnsiTheme="minorEastAsia" w:eastAsiaTheme="minorEastAsia" w:cstheme="minorEastAsia"/>
          <w:caps/>
          <w:color w:val="000000" w:themeColor="text1"/>
          <w:szCs w:val="22"/>
          <w14:textFill>
            <w14:solidFill>
              <w14:schemeClr w14:val="tx1"/>
            </w14:solidFill>
          </w14:textFill>
        </w:rPr>
        <w:t>㎡（</w:t>
      </w:r>
      <w:r>
        <w:rPr>
          <w:rFonts w:hint="eastAsia" w:asciiTheme="minorEastAsia" w:hAnsiTheme="minorEastAsia" w:eastAsiaTheme="minorEastAsia" w:cstheme="minorEastAsia"/>
          <w:caps/>
          <w:color w:val="000000" w:themeColor="text1"/>
          <w:szCs w:val="22"/>
          <w:lang w:val="en-US" w:eastAsia="zh-CN"/>
          <w14:textFill>
            <w14:solidFill>
              <w14:schemeClr w14:val="tx1"/>
            </w14:solidFill>
          </w14:textFill>
        </w:rPr>
        <w:t>46.72</w:t>
      </w:r>
      <w:r>
        <w:rPr>
          <w:rFonts w:hint="eastAsia" w:asciiTheme="minorEastAsia" w:hAnsiTheme="minorEastAsia" w:eastAsiaTheme="minorEastAsia" w:cstheme="minorEastAsia"/>
          <w:caps/>
          <w:color w:val="000000" w:themeColor="text1"/>
          <w:szCs w:val="22"/>
          <w14:textFill>
            <w14:solidFill>
              <w14:schemeClr w14:val="tx1"/>
            </w14:solidFill>
          </w14:textFill>
        </w:rPr>
        <w:t>亩）</w:t>
      </w:r>
    </w:p>
    <w:p>
      <w:pPr>
        <w:pStyle w:val="7"/>
        <w:spacing w:line="312" w:lineRule="auto"/>
        <w:ind w:firstLine="0" w:firstLineChars="0"/>
        <w:jc w:val="left"/>
        <w:rPr>
          <w:rFonts w:asciiTheme="minorEastAsia" w:hAnsiTheme="minorEastAsia" w:eastAsiaTheme="minorEastAsia" w:cstheme="minorEastAsia"/>
          <w:b/>
          <w:caps/>
          <w:color w:val="000000" w:themeColor="text1"/>
          <w14:textFill>
            <w14:solidFill>
              <w14:schemeClr w14:val="tx1"/>
            </w14:solidFill>
          </w14:textFill>
        </w:rPr>
      </w:pPr>
      <w:r>
        <w:rPr>
          <w:rFonts w:hint="eastAsia" w:asciiTheme="minorEastAsia" w:hAnsiTheme="minorEastAsia" w:eastAsiaTheme="minorEastAsia" w:cstheme="minorEastAsia"/>
          <w:b/>
          <w:caps/>
          <w:color w:val="000000" w:themeColor="text1"/>
          <w14:textFill>
            <w14:solidFill>
              <w14:schemeClr w14:val="tx1"/>
            </w14:solidFill>
          </w14:textFill>
        </w:rPr>
        <w:t>2.1.2项目背景</w:t>
      </w:r>
    </w:p>
    <w:p>
      <w:pPr>
        <w:spacing w:line="640" w:lineRule="exact"/>
        <w:ind w:firstLine="570"/>
        <w:rPr>
          <w:rFonts w:asciiTheme="minorEastAsia" w:hAnsiTheme="minorEastAsia" w:eastAsiaTheme="minorEastAsia" w:cstheme="minorEastAsia"/>
          <w:caps/>
          <w:color w:val="000000" w:themeColor="text1"/>
          <w:sz w:val="32"/>
          <w:szCs w:val="22"/>
          <w14:textFill>
            <w14:solidFill>
              <w14:schemeClr w14:val="tx1"/>
            </w14:solidFill>
          </w14:textFill>
        </w:rPr>
      </w:pPr>
      <w:r>
        <w:rPr>
          <w:rFonts w:hint="eastAsia" w:asciiTheme="minorEastAsia" w:hAnsiTheme="minorEastAsia" w:eastAsiaTheme="minorEastAsia" w:cstheme="minorEastAsia"/>
          <w:caps/>
          <w:color w:val="000000" w:themeColor="text1"/>
          <w:sz w:val="32"/>
          <w:szCs w:val="22"/>
          <w14:textFill>
            <w14:solidFill>
              <w14:schemeClr w14:val="tx1"/>
            </w14:solidFill>
          </w14:textFill>
        </w:rPr>
        <w:t>本项目基地位于祥</w:t>
      </w:r>
      <w:r>
        <w:rPr>
          <w:rFonts w:hint="eastAsia" w:asciiTheme="minorEastAsia" w:hAnsiTheme="minorEastAsia" w:eastAsiaTheme="minorEastAsia" w:cstheme="minorEastAsia"/>
          <w:caps/>
          <w:color w:val="000000" w:themeColor="text1"/>
          <w:sz w:val="32"/>
          <w:szCs w:val="22"/>
          <w:lang w:val="en-US" w:eastAsia="zh-CN"/>
          <w14:textFill>
            <w14:solidFill>
              <w14:schemeClr w14:val="tx1"/>
            </w14:solidFill>
          </w14:textFill>
        </w:rPr>
        <w:t>弥城中学西南方向，原粮食局和烟草公司用地</w:t>
      </w:r>
      <w:r>
        <w:rPr>
          <w:rFonts w:hint="eastAsia" w:asciiTheme="minorEastAsia" w:hAnsiTheme="minorEastAsia" w:eastAsiaTheme="minorEastAsia" w:cstheme="minorEastAsia"/>
          <w:caps/>
          <w:color w:val="000000" w:themeColor="text1"/>
          <w:sz w:val="32"/>
          <w:szCs w:val="22"/>
          <w14:textFill>
            <w14:solidFill>
              <w14:schemeClr w14:val="tx1"/>
            </w14:solidFill>
          </w14:textFill>
        </w:rPr>
        <w:t>。东</w:t>
      </w:r>
      <w:r>
        <w:rPr>
          <w:rFonts w:hint="eastAsia" w:asciiTheme="minorEastAsia" w:hAnsiTheme="minorEastAsia" w:eastAsiaTheme="minorEastAsia" w:cstheme="minorEastAsia"/>
          <w:caps/>
          <w:color w:val="000000" w:themeColor="text1"/>
          <w:sz w:val="32"/>
          <w:szCs w:val="22"/>
          <w:lang w:val="en-US" w:eastAsia="zh-CN"/>
          <w14:textFill>
            <w14:solidFill>
              <w14:schemeClr w14:val="tx1"/>
            </w14:solidFill>
          </w14:textFill>
        </w:rPr>
        <w:t>北</w:t>
      </w:r>
      <w:r>
        <w:rPr>
          <w:rFonts w:hint="eastAsia" w:asciiTheme="minorEastAsia" w:hAnsiTheme="minorEastAsia" w:eastAsiaTheme="minorEastAsia" w:cstheme="minorEastAsia"/>
          <w:caps/>
          <w:color w:val="000000" w:themeColor="text1"/>
          <w:sz w:val="32"/>
          <w:szCs w:val="22"/>
          <w14:textFill>
            <w14:solidFill>
              <w14:schemeClr w14:val="tx1"/>
            </w14:solidFill>
          </w14:textFill>
        </w:rPr>
        <w:t>面紧邻</w:t>
      </w:r>
      <w:r>
        <w:rPr>
          <w:rFonts w:hint="eastAsia" w:asciiTheme="minorEastAsia" w:hAnsiTheme="minorEastAsia" w:eastAsiaTheme="minorEastAsia" w:cstheme="minorEastAsia"/>
          <w:caps/>
          <w:color w:val="000000" w:themeColor="text1"/>
          <w:sz w:val="32"/>
          <w:szCs w:val="22"/>
          <w:lang w:val="en-US" w:eastAsia="zh-CN"/>
          <w14:textFill>
            <w14:solidFill>
              <w14:schemeClr w14:val="tx1"/>
            </w14:solidFill>
          </w14:textFill>
        </w:rPr>
        <w:t>弥城中学老校区</w:t>
      </w:r>
      <w:r>
        <w:rPr>
          <w:rFonts w:hint="eastAsia" w:asciiTheme="minorEastAsia" w:hAnsiTheme="minorEastAsia" w:eastAsiaTheme="minorEastAsia" w:cstheme="minorEastAsia"/>
          <w:caps/>
          <w:color w:val="000000" w:themeColor="text1"/>
          <w:sz w:val="32"/>
          <w:szCs w:val="22"/>
          <w14:textFill>
            <w14:solidFill>
              <w14:schemeClr w14:val="tx1"/>
            </w14:solidFill>
          </w14:textFill>
        </w:rPr>
        <w:t>，</w:t>
      </w:r>
      <w:r>
        <w:rPr>
          <w:rFonts w:hint="eastAsia" w:asciiTheme="minorEastAsia" w:hAnsiTheme="minorEastAsia" w:eastAsiaTheme="minorEastAsia" w:cstheme="minorEastAsia"/>
          <w:caps/>
          <w:color w:val="000000" w:themeColor="text1"/>
          <w:sz w:val="32"/>
          <w:szCs w:val="22"/>
          <w:lang w:val="en-US" w:eastAsia="zh-CN"/>
          <w14:textFill>
            <w14:solidFill>
              <w14:schemeClr w14:val="tx1"/>
            </w14:solidFill>
          </w14:textFill>
        </w:rPr>
        <w:t>西南面为</w:t>
      </w:r>
      <w:r>
        <w:rPr>
          <w:rFonts w:hint="eastAsia" w:asciiTheme="minorEastAsia" w:hAnsiTheme="minorEastAsia" w:eastAsiaTheme="minorEastAsia" w:cstheme="minorEastAsia"/>
          <w:caps/>
          <w:color w:val="000000" w:themeColor="text1"/>
          <w:sz w:val="32"/>
          <w:szCs w:val="22"/>
          <w14:textFill>
            <w14:solidFill>
              <w14:schemeClr w14:val="tx1"/>
            </w14:solidFill>
          </w14:textFill>
        </w:rPr>
        <w:t>市政道路。地块</w:t>
      </w:r>
      <w:r>
        <w:rPr>
          <w:rFonts w:hint="eastAsia" w:asciiTheme="minorEastAsia" w:hAnsiTheme="minorEastAsia" w:eastAsiaTheme="minorEastAsia" w:cstheme="minorEastAsia"/>
          <w:caps/>
          <w:color w:val="000000" w:themeColor="text1"/>
          <w:sz w:val="32"/>
          <w:szCs w:val="22"/>
          <w:lang w:val="en-US" w:eastAsia="zh-CN"/>
          <w14:textFill>
            <w14:solidFill>
              <w14:schemeClr w14:val="tx1"/>
            </w14:solidFill>
          </w14:textFill>
        </w:rPr>
        <w:t>内较为平整</w:t>
      </w:r>
      <w:r>
        <w:rPr>
          <w:rFonts w:hint="eastAsia" w:asciiTheme="minorEastAsia" w:hAnsiTheme="minorEastAsia" w:eastAsiaTheme="minorEastAsia" w:cstheme="minorEastAsia"/>
          <w:caps/>
          <w:color w:val="000000" w:themeColor="text1"/>
          <w:sz w:val="32"/>
          <w:szCs w:val="22"/>
          <w14:textFill>
            <w14:solidFill>
              <w14:schemeClr w14:val="tx1"/>
            </w14:solidFill>
          </w14:textFill>
        </w:rPr>
        <w:t>，</w:t>
      </w:r>
      <w:r>
        <w:rPr>
          <w:rFonts w:hint="eastAsia" w:asciiTheme="minorEastAsia" w:hAnsiTheme="minorEastAsia" w:eastAsiaTheme="minorEastAsia" w:cstheme="minorEastAsia"/>
          <w:caps/>
          <w:color w:val="000000" w:themeColor="text1"/>
          <w:sz w:val="32"/>
          <w:szCs w:val="22"/>
          <w:lang w:val="en-US" w:eastAsia="zh-CN"/>
          <w14:textFill>
            <w14:solidFill>
              <w14:schemeClr w14:val="tx1"/>
            </w14:solidFill>
          </w14:textFill>
        </w:rPr>
        <w:t>坡度较小</w:t>
      </w:r>
      <w:r>
        <w:rPr>
          <w:rFonts w:hint="eastAsia" w:asciiTheme="minorEastAsia" w:hAnsiTheme="minorEastAsia" w:eastAsiaTheme="minorEastAsia" w:cstheme="minorEastAsia"/>
          <w:caps/>
          <w:color w:val="000000" w:themeColor="text1"/>
          <w:sz w:val="32"/>
          <w:szCs w:val="22"/>
          <w14:textFill>
            <w14:solidFill>
              <w14:schemeClr w14:val="tx1"/>
            </w14:solidFill>
          </w14:textFill>
        </w:rPr>
        <w:t>，地质情况较好，宜于工程建设 。</w:t>
      </w:r>
    </w:p>
    <w:p>
      <w:pPr>
        <w:pStyle w:val="7"/>
        <w:spacing w:line="312" w:lineRule="auto"/>
        <w:ind w:firstLine="640" w:firstLineChars="200"/>
        <w:jc w:val="left"/>
        <w:rPr>
          <w:rFonts w:hint="eastAsia" w:asciiTheme="minorEastAsia" w:hAnsiTheme="minorEastAsia" w:eastAsiaTheme="minorEastAsia" w:cstheme="minorEastAsia"/>
          <w:caps/>
          <w:color w:val="000000" w:themeColor="text1"/>
          <w:szCs w:val="22"/>
          <w14:textFill>
            <w14:solidFill>
              <w14:schemeClr w14:val="tx1"/>
            </w14:solidFill>
          </w14:textFill>
        </w:rPr>
      </w:pPr>
      <w:r>
        <w:rPr>
          <w:rFonts w:hint="eastAsia" w:asciiTheme="minorEastAsia" w:hAnsiTheme="minorEastAsia" w:eastAsiaTheme="minorEastAsia" w:cstheme="minorEastAsia"/>
          <w:caps/>
          <w:color w:val="000000" w:themeColor="text1"/>
          <w:szCs w:val="22"/>
          <w14:textFill>
            <w14:solidFill>
              <w14:schemeClr w14:val="tx1"/>
            </w14:solidFill>
          </w14:textFill>
        </w:rPr>
        <w:t>基地北侧</w:t>
      </w:r>
      <w:r>
        <w:rPr>
          <w:rFonts w:hint="eastAsia" w:asciiTheme="minorEastAsia" w:hAnsiTheme="minorEastAsia" w:eastAsiaTheme="minorEastAsia" w:cstheme="minorEastAsia"/>
          <w:caps/>
          <w:color w:val="000000" w:themeColor="text1"/>
          <w:szCs w:val="22"/>
          <w:lang w:val="en-US" w:eastAsia="zh-CN"/>
          <w14:textFill>
            <w14:solidFill>
              <w14:schemeClr w14:val="tx1"/>
            </w14:solidFill>
          </w14:textFill>
        </w:rPr>
        <w:t>可直通弥川大道，东北角紧邻弥城中学老校区，西南侧为市政道路</w:t>
      </w:r>
      <w:r>
        <w:rPr>
          <w:rFonts w:hint="eastAsia" w:asciiTheme="minorEastAsia" w:hAnsiTheme="minorEastAsia" w:eastAsiaTheme="minorEastAsia" w:cstheme="minorEastAsia"/>
          <w:caps/>
          <w:color w:val="000000" w:themeColor="text1"/>
          <w:szCs w:val="22"/>
          <w14:textFill>
            <w14:solidFill>
              <w14:schemeClr w14:val="tx1"/>
            </w14:solidFill>
          </w14:textFill>
        </w:rPr>
        <w:t>，且3公里范围内有弥渡汽车客运站，交通十分便捷。项目周边学校分布众多，教育氛围浓重，为此项目的实施奠定良好的基础。</w:t>
      </w:r>
    </w:p>
    <w:p>
      <w:pPr>
        <w:pStyle w:val="7"/>
        <w:spacing w:line="312" w:lineRule="auto"/>
        <w:ind w:firstLine="640" w:firstLineChars="200"/>
        <w:jc w:val="left"/>
        <w:rPr>
          <w:rFonts w:hint="default" w:asciiTheme="minorEastAsia" w:hAnsiTheme="minorEastAsia" w:eastAsiaTheme="minorEastAsia" w:cstheme="minorEastAsia"/>
          <w:caps/>
          <w:color w:val="000000" w:themeColor="text1"/>
          <w:szCs w:val="22"/>
          <w:lang w:val="en-US" w:eastAsia="zh-CN"/>
          <w14:textFill>
            <w14:solidFill>
              <w14:schemeClr w14:val="tx1"/>
            </w14:solidFill>
          </w14:textFill>
        </w:rPr>
      </w:pPr>
      <w:r>
        <w:rPr>
          <w:rFonts w:hint="eastAsia" w:asciiTheme="minorEastAsia" w:hAnsiTheme="minorEastAsia" w:eastAsiaTheme="minorEastAsia" w:cstheme="minorEastAsia"/>
          <w:caps/>
          <w:color w:val="000000" w:themeColor="text1"/>
          <w:szCs w:val="22"/>
          <w:lang w:val="en-US" w:eastAsia="zh-CN"/>
          <w14:textFill>
            <w14:solidFill>
              <w14:schemeClr w14:val="tx1"/>
            </w14:solidFill>
          </w14:textFill>
        </w:rPr>
        <w:t>弥城中学现有3栋教师公寓，主要满足外地教师的住宿需求。学校为半寄宿制中学，现有学生3433人，宿舍区容纳1500人，其余学生在校午餐，现有学生3433人，原有学生食堂可容纳2000人就餐，学生就餐空间不足。有一栋教师食堂，可满足全校245名教师的就餐需求。弥城中学现有400米环形跑道足球场一块，篮球场5块，学校学生众多，运动场地严重不足。学校原有大型阶梯教室一个，基本满足使用要求。原有3栋教学楼，设有55个教学班，和弥城一中合并后达到70个教学班，教学空间严重不足。有一栋办公综合楼主要用于教师办公，设有理化生实验室各三个，缺少其他专业教室。</w:t>
      </w:r>
    </w:p>
    <w:p>
      <w:pPr>
        <w:pStyle w:val="3"/>
        <w:rPr>
          <w:color w:val="000000" w:themeColor="text1"/>
          <w14:textFill>
            <w14:solidFill>
              <w14:schemeClr w14:val="tx1"/>
            </w14:solidFill>
          </w14:textFill>
        </w:rPr>
      </w:pPr>
      <w:bookmarkStart w:id="15" w:name="_Toc14852_WPSOffice_Level2"/>
      <w:bookmarkStart w:id="16" w:name="_Toc31478"/>
      <w:r>
        <w:rPr>
          <w:rFonts w:hint="eastAsia"/>
          <w:color w:val="000000" w:themeColor="text1"/>
          <w14:textFill>
            <w14:solidFill>
              <w14:schemeClr w14:val="tx1"/>
            </w14:solidFill>
          </w14:textFill>
        </w:rPr>
        <w:t>2.2 区域位置</w:t>
      </w:r>
      <w:bookmarkEnd w:id="15"/>
      <w:bookmarkEnd w:id="16"/>
    </w:p>
    <w:p>
      <w:pPr>
        <w:widowControl/>
        <w:ind w:firstLine="640" w:firstLineChars="200"/>
        <w:jc w:val="left"/>
        <w:rPr>
          <w:rFonts w:ascii="宋体" w:hAnsi="宋体" w:cs="宋体"/>
          <w:color w:val="000000" w:themeColor="text1"/>
          <w:kern w:val="0"/>
          <w:sz w:val="32"/>
          <w:szCs w:val="32"/>
          <w14:textFill>
            <w14:solidFill>
              <w14:schemeClr w14:val="tx1"/>
            </w14:solidFill>
          </w14:textFill>
        </w:rPr>
      </w:pPr>
      <w:r>
        <w:rPr>
          <w:rFonts w:hint="eastAsia" w:asciiTheme="minorEastAsia" w:hAnsiTheme="minorEastAsia" w:eastAsiaTheme="minorEastAsia" w:cstheme="minorEastAsia"/>
          <w:caps/>
          <w:color w:val="000000" w:themeColor="text1"/>
          <w:sz w:val="32"/>
          <w:szCs w:val="22"/>
          <w14:textFill>
            <w14:solidFill>
              <w14:schemeClr w14:val="tx1"/>
            </w14:solidFill>
          </w14:textFill>
        </w:rPr>
        <w:t>基地位于</w:t>
      </w:r>
      <w:r>
        <w:rPr>
          <w:rFonts w:hint="eastAsia" w:asciiTheme="minorEastAsia" w:hAnsiTheme="minorEastAsia" w:eastAsiaTheme="minorEastAsia" w:cstheme="minorEastAsia"/>
          <w:caps/>
          <w:color w:val="000000" w:themeColor="text1"/>
          <w:sz w:val="32"/>
          <w:szCs w:val="22"/>
          <w:lang w:val="en-US" w:eastAsia="zh-CN"/>
          <w14:textFill>
            <w14:solidFill>
              <w14:schemeClr w14:val="tx1"/>
            </w14:solidFill>
          </w14:textFill>
        </w:rPr>
        <w:t>弥城中学西南</w:t>
      </w:r>
      <w:bookmarkStart w:id="230" w:name="_GoBack"/>
      <w:bookmarkEnd w:id="230"/>
      <w:r>
        <w:rPr>
          <w:rFonts w:hint="eastAsia" w:asciiTheme="minorEastAsia" w:hAnsiTheme="minorEastAsia" w:eastAsiaTheme="minorEastAsia" w:cstheme="minorEastAsia"/>
          <w:caps/>
          <w:color w:val="000000" w:themeColor="text1"/>
          <w:sz w:val="32"/>
          <w:szCs w:val="22"/>
          <w:lang w:val="en-US" w:eastAsia="zh-CN"/>
          <w14:textFill>
            <w14:solidFill>
              <w14:schemeClr w14:val="tx1"/>
            </w14:solidFill>
          </w14:textFill>
        </w:rPr>
        <w:t>方向，原粮食局和烟草公司用地。</w:t>
      </w:r>
    </w:p>
    <w:p>
      <w:pPr>
        <w:pStyle w:val="3"/>
        <w:rPr>
          <w:color w:val="000000" w:themeColor="text1"/>
          <w14:textFill>
            <w14:solidFill>
              <w14:schemeClr w14:val="tx1"/>
            </w14:solidFill>
          </w14:textFill>
        </w:rPr>
      </w:pPr>
      <w:bookmarkStart w:id="17" w:name="_Toc6365"/>
      <w:bookmarkStart w:id="18" w:name="_Toc6058_WPSOffice_Level2"/>
      <w:r>
        <w:rPr>
          <w:rFonts w:hint="eastAsia"/>
          <w:color w:val="000000" w:themeColor="text1"/>
          <w14:textFill>
            <w14:solidFill>
              <w14:schemeClr w14:val="tx1"/>
            </w14:solidFill>
          </w14:textFill>
        </w:rPr>
        <w:t>2.3 地理气候与历史人文</w:t>
      </w:r>
      <w:bookmarkEnd w:id="17"/>
      <w:bookmarkEnd w:id="18"/>
    </w:p>
    <w:p>
      <w:pPr>
        <w:pStyle w:val="7"/>
        <w:spacing w:line="312" w:lineRule="auto"/>
        <w:ind w:firstLine="0" w:firstLineChars="0"/>
        <w:jc w:val="left"/>
        <w:rPr>
          <w:rFonts w:asciiTheme="minorEastAsia" w:hAnsiTheme="minorEastAsia" w:eastAsiaTheme="minorEastAsia" w:cstheme="minorEastAsia"/>
          <w:b/>
          <w:caps/>
          <w:color w:val="000000" w:themeColor="text1"/>
          <w14:textFill>
            <w14:solidFill>
              <w14:schemeClr w14:val="tx1"/>
            </w14:solidFill>
          </w14:textFill>
        </w:rPr>
      </w:pPr>
      <w:r>
        <w:rPr>
          <w:rFonts w:hint="eastAsia" w:asciiTheme="minorEastAsia" w:hAnsiTheme="minorEastAsia" w:eastAsiaTheme="minorEastAsia" w:cstheme="minorEastAsia"/>
          <w:b/>
          <w:caps/>
          <w:color w:val="000000" w:themeColor="text1"/>
          <w14:textFill>
            <w14:solidFill>
              <w14:schemeClr w14:val="tx1"/>
            </w14:solidFill>
          </w14:textFill>
        </w:rPr>
        <w:t>2.3.1地理气候</w:t>
      </w:r>
    </w:p>
    <w:p>
      <w:pPr>
        <w:widowControl/>
        <w:ind w:firstLine="640" w:firstLineChars="200"/>
        <w:jc w:val="left"/>
        <w:rPr>
          <w:rFonts w:asciiTheme="minorEastAsia" w:hAnsiTheme="minorEastAsia" w:eastAsiaTheme="minorEastAsia" w:cstheme="minorEastAsia"/>
          <w:caps/>
          <w:color w:val="000000" w:themeColor="text1"/>
          <w:sz w:val="32"/>
          <w:szCs w:val="22"/>
          <w14:textFill>
            <w14:solidFill>
              <w14:schemeClr w14:val="tx1"/>
            </w14:solidFill>
          </w14:textFill>
        </w:rPr>
      </w:pPr>
      <w:bookmarkStart w:id="19" w:name="_Toc5786"/>
      <w:r>
        <w:rPr>
          <w:rFonts w:hint="eastAsia" w:asciiTheme="minorEastAsia" w:hAnsiTheme="minorEastAsia" w:eastAsiaTheme="minorEastAsia" w:cstheme="minorEastAsia"/>
          <w:caps/>
          <w:color w:val="000000" w:themeColor="text1"/>
          <w:sz w:val="32"/>
          <w:szCs w:val="22"/>
          <w14:textFill>
            <w14:solidFill>
              <w14:schemeClr w14:val="tx1"/>
            </w14:solidFill>
          </w14:textFill>
        </w:rPr>
        <w:t>弥渡县地势西北高，东南低，自西北向东南呈狭长地形。地貌分构造剥蚀山地、切割中山峡谷山地、溶蚀中山峡谷山块、山间断陷盆地四大类型。最高点为县域西北部的九顶山山峰，海拔3117.9米，最低点为县域东南部金宝山东麓的礼社江心，海拔1223米，县城海拔1672米。弥渡县属中亚热带季风气候区，冬无严寒，夏无酷暑，气候温和，没有明显的四季之分，只有干季，雨季之别，年平均气温17.3℃；降雨量824.4毫米。立体气候明显，河谷热，坝子暖，高山寒。</w:t>
      </w:r>
      <w:bookmarkEnd w:id="19"/>
    </w:p>
    <w:p>
      <w:pPr>
        <w:pStyle w:val="7"/>
        <w:spacing w:line="312" w:lineRule="auto"/>
        <w:ind w:firstLine="0" w:firstLineChars="0"/>
        <w:jc w:val="left"/>
        <w:rPr>
          <w:rFonts w:asciiTheme="minorEastAsia" w:hAnsiTheme="minorEastAsia" w:eastAsiaTheme="minorEastAsia" w:cstheme="minorEastAsia"/>
          <w:b/>
          <w:caps/>
          <w:color w:val="000000" w:themeColor="text1"/>
          <w14:textFill>
            <w14:solidFill>
              <w14:schemeClr w14:val="tx1"/>
            </w14:solidFill>
          </w14:textFill>
        </w:rPr>
      </w:pPr>
      <w:r>
        <w:rPr>
          <w:rFonts w:hint="eastAsia" w:asciiTheme="minorEastAsia" w:hAnsiTheme="minorEastAsia" w:eastAsiaTheme="minorEastAsia" w:cstheme="minorEastAsia"/>
          <w:b/>
          <w:caps/>
          <w:color w:val="000000" w:themeColor="text1"/>
          <w14:textFill>
            <w14:solidFill>
              <w14:schemeClr w14:val="tx1"/>
            </w14:solidFill>
          </w14:textFill>
        </w:rPr>
        <w:t xml:space="preserve"> 2.3.2历史人文</w:t>
      </w:r>
    </w:p>
    <w:p>
      <w:pPr>
        <w:widowControl/>
        <w:ind w:firstLine="640" w:firstLineChars="200"/>
        <w:jc w:val="left"/>
        <w:rPr>
          <w:rFonts w:asciiTheme="minorEastAsia" w:hAnsiTheme="minorEastAsia" w:eastAsiaTheme="minorEastAsia" w:cstheme="minorEastAsia"/>
          <w:caps/>
          <w:color w:val="000000" w:themeColor="text1"/>
          <w:sz w:val="32"/>
          <w:szCs w:val="22"/>
          <w14:textFill>
            <w14:solidFill>
              <w14:schemeClr w14:val="tx1"/>
            </w14:solidFill>
          </w14:textFill>
        </w:rPr>
      </w:pPr>
      <w:r>
        <w:rPr>
          <w:rFonts w:hint="eastAsia" w:asciiTheme="minorEastAsia" w:hAnsiTheme="minorEastAsia" w:eastAsiaTheme="minorEastAsia" w:cstheme="minorEastAsia"/>
          <w:caps/>
          <w:color w:val="000000" w:themeColor="text1"/>
          <w:sz w:val="32"/>
          <w:szCs w:val="22"/>
          <w14:textFill>
            <w14:solidFill>
              <w14:schemeClr w14:val="tx1"/>
            </w14:solidFill>
          </w14:textFill>
        </w:rPr>
        <w:t>弥渡史称“白国故地，西汉旧郡；十赕沃壤，六诏咽喉”，相传古代弥渡是一片浩瀚的水乡泽国，行者易迷津，故名“迷渡”，清代改称弥渡。弥渡是人类发祥地之一，早在旧石器晚期，就有先民在这里繁衍生息，境内现存有旧石器时代的古文化遗物。弥渡是白子国故都，是云南省</w:t>
      </w:r>
      <w:r>
        <w:rPr>
          <w:rFonts w:asciiTheme="minorEastAsia" w:hAnsiTheme="minorEastAsia" w:eastAsiaTheme="minorEastAsia" w:cstheme="minorEastAsia"/>
          <w:caps/>
          <w:color w:val="000000" w:themeColor="text1"/>
          <w:sz w:val="32"/>
          <w:szCs w:val="22"/>
          <w14:textFill>
            <w14:solidFill>
              <w14:schemeClr w14:val="tx1"/>
            </w14:solidFill>
          </w14:textFill>
        </w:rPr>
        <w:t>59</w:t>
      </w:r>
      <w:r>
        <w:rPr>
          <w:rFonts w:hint="eastAsia" w:asciiTheme="minorEastAsia" w:hAnsiTheme="minorEastAsia" w:eastAsiaTheme="minorEastAsia" w:cstheme="minorEastAsia"/>
          <w:caps/>
          <w:color w:val="000000" w:themeColor="text1"/>
          <w:sz w:val="32"/>
          <w:szCs w:val="22"/>
          <w14:textFill>
            <w14:solidFill>
              <w14:schemeClr w14:val="tx1"/>
            </w14:solidFill>
          </w14:textFill>
        </w:rPr>
        <w:t>个革命老区县（市、区）之一，素以“花灯之乡”“文献名邦”“民歌之乡”著称。明、清时期教育文化发达兴盛，清代出现了“五科七解亚”之盛况。</w:t>
      </w:r>
    </w:p>
    <w:p>
      <w:pPr>
        <w:widowControl/>
        <w:ind w:firstLine="640" w:firstLineChars="200"/>
        <w:jc w:val="left"/>
        <w:rPr>
          <w:rFonts w:asciiTheme="minorEastAsia" w:hAnsiTheme="minorEastAsia" w:eastAsiaTheme="minorEastAsia" w:cstheme="minorEastAsia"/>
          <w:caps/>
          <w:color w:val="000000" w:themeColor="text1"/>
          <w:sz w:val="32"/>
          <w:szCs w:val="22"/>
          <w14:textFill>
            <w14:solidFill>
              <w14:schemeClr w14:val="tx1"/>
            </w14:solidFill>
          </w14:textFill>
        </w:rPr>
      </w:pPr>
      <w:r>
        <w:rPr>
          <w:rFonts w:hint="eastAsia" w:asciiTheme="minorEastAsia" w:hAnsiTheme="minorEastAsia" w:eastAsiaTheme="minorEastAsia" w:cstheme="minorEastAsia"/>
          <w:caps/>
          <w:color w:val="000000" w:themeColor="text1"/>
          <w:sz w:val="32"/>
          <w:szCs w:val="22"/>
          <w14:textFill>
            <w14:solidFill>
              <w14:schemeClr w14:val="tx1"/>
            </w14:solidFill>
          </w14:textFill>
        </w:rPr>
        <w:t>弥渡是世界名曲《小河淌水》的故乡、中国民间花灯文化艺术之乡和全国文化先进县，弥渡民歌、花灯戏属国家级非物质文化遗产，《十大姐》《绣荷包》《弥渡山歌》等曲目蜚声海内外。有“标绩全滇”的国家级重点文物“南诏铁柱”、国家级历史文化名村文盛街、省级重点文物保护单位李文学彝族农民起义遗址、永增玉皇阁、白崖城遗址、金殿窝遗址等文物古迹，有省级风景名胜区太极山、省级旅游小镇密祉等景点景区。</w:t>
      </w:r>
    </w:p>
    <w:p>
      <w:pPr>
        <w:widowControl/>
        <w:ind w:firstLine="640" w:firstLineChars="200"/>
        <w:jc w:val="left"/>
        <w:rPr>
          <w:rFonts w:ascii="宋体" w:hAnsi="宋体" w:cs="宋体"/>
          <w:color w:val="000000" w:themeColor="text1"/>
          <w:kern w:val="0"/>
          <w:sz w:val="32"/>
          <w:szCs w:val="32"/>
          <w14:textFill>
            <w14:solidFill>
              <w14:schemeClr w14:val="tx1"/>
            </w14:solidFill>
          </w14:textFill>
        </w:rPr>
      </w:pPr>
      <w:r>
        <w:rPr>
          <w:rFonts w:ascii="宋体" w:hAnsi="宋体" w:cs="宋体"/>
          <w:color w:val="000000" w:themeColor="text1"/>
          <w:kern w:val="0"/>
          <w:sz w:val="32"/>
          <w:szCs w:val="32"/>
          <w14:textFill>
            <w14:solidFill>
              <w14:schemeClr w14:val="tx1"/>
            </w14:solidFill>
          </w14:textFill>
        </w:rPr>
        <w:t xml:space="preserve"> </w:t>
      </w:r>
    </w:p>
    <w:p>
      <w:pPr>
        <w:pStyle w:val="2"/>
        <w:jc w:val="center"/>
        <w:rPr>
          <w:color w:val="000000" w:themeColor="text1"/>
          <w14:textFill>
            <w14:solidFill>
              <w14:schemeClr w14:val="tx1"/>
            </w14:solidFill>
          </w14:textFill>
        </w:rPr>
      </w:pPr>
      <w:bookmarkStart w:id="20" w:name="_Toc8686"/>
      <w:bookmarkStart w:id="21" w:name="_Toc9141_WPSOffice_Level1"/>
      <w:r>
        <w:rPr>
          <w:rFonts w:hint="eastAsia"/>
          <w:color w:val="000000" w:themeColor="text1"/>
          <w14:textFill>
            <w14:solidFill>
              <w14:schemeClr w14:val="tx1"/>
            </w14:solidFill>
          </w14:textFill>
        </w:rPr>
        <w:t>第三章  目标理念</w:t>
      </w:r>
      <w:bookmarkEnd w:id="20"/>
      <w:bookmarkEnd w:id="21"/>
    </w:p>
    <w:p>
      <w:pPr>
        <w:pStyle w:val="3"/>
        <w:rPr>
          <w:color w:val="000000" w:themeColor="text1"/>
          <w14:textFill>
            <w14:solidFill>
              <w14:schemeClr w14:val="tx1"/>
            </w14:solidFill>
          </w14:textFill>
        </w:rPr>
      </w:pPr>
      <w:bookmarkStart w:id="22" w:name="_Toc29529_WPSOffice_Level2"/>
      <w:bookmarkStart w:id="23" w:name="_Toc7577"/>
      <w:r>
        <w:rPr>
          <w:rFonts w:hint="eastAsia"/>
          <w:color w:val="000000" w:themeColor="text1"/>
          <w14:textFill>
            <w14:solidFill>
              <w14:schemeClr w14:val="tx1"/>
            </w14:solidFill>
          </w14:textFill>
        </w:rPr>
        <w:t xml:space="preserve">3.1 </w:t>
      </w:r>
      <w:bookmarkEnd w:id="22"/>
      <w:r>
        <w:rPr>
          <w:rFonts w:hint="eastAsia"/>
          <w:color w:val="000000" w:themeColor="text1"/>
          <w14:textFill>
            <w14:solidFill>
              <w14:schemeClr w14:val="tx1"/>
            </w14:solidFill>
          </w14:textFill>
        </w:rPr>
        <w:t>总体构思</w:t>
      </w:r>
      <w:bookmarkEnd w:id="23"/>
    </w:p>
    <w:p>
      <w:pPr>
        <w:spacing w:line="600" w:lineRule="exact"/>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asciiTheme="minorEastAsia" w:hAnsiTheme="minorEastAsia" w:eastAsiaTheme="minorEastAsia" w:cstheme="minorEastAsia"/>
          <w:color w:val="000000" w:themeColor="text1"/>
          <w:sz w:val="32"/>
          <w:szCs w:val="32"/>
          <w14:textFill>
            <w14:solidFill>
              <w14:schemeClr w14:val="tx1"/>
            </w14:solidFill>
          </w14:textFill>
        </w:rPr>
        <w:t>依托现有的自然、人文景观，突出 “ 以人为本” 的设计理念</w:t>
      </w:r>
      <w:r>
        <w:rPr>
          <w:rFonts w:hint="eastAsia" w:asciiTheme="minorEastAsia" w:hAnsiTheme="minorEastAsia" w:eastAsiaTheme="minorEastAsia" w:cstheme="minorEastAsia"/>
          <w:color w:val="000000" w:themeColor="text1"/>
          <w:sz w:val="32"/>
          <w:szCs w:val="32"/>
          <w14:textFill>
            <w14:solidFill>
              <w14:schemeClr w14:val="tx1"/>
            </w14:solidFill>
          </w14:textFill>
        </w:rPr>
        <w:t>，</w:t>
      </w:r>
      <w:r>
        <w:rPr>
          <w:rFonts w:asciiTheme="minorEastAsia" w:hAnsiTheme="minorEastAsia" w:eastAsiaTheme="minorEastAsia" w:cstheme="minorEastAsia"/>
          <w:color w:val="000000" w:themeColor="text1"/>
          <w:sz w:val="32"/>
          <w:szCs w:val="32"/>
          <w14:textFill>
            <w14:solidFill>
              <w14:schemeClr w14:val="tx1"/>
            </w14:solidFill>
          </w14:textFill>
        </w:rPr>
        <w:t>反映与时俱进的校园文化气息，构建一个高起点的美观、舒适的教学场所，使之既具有现代化的特点又有其自身的底蕴，各功能单元相对独立又相互联系，建筑单体成组布置突出生态要素的主体地位，实现自然环境要素与人工要素的整合，可持续发展为前提，有利于分期实施，达到经济与技术可行，环境与社会效益双赢。</w:t>
      </w:r>
    </w:p>
    <w:p>
      <w:pPr>
        <w:spacing w:line="600" w:lineRule="exact"/>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asciiTheme="minorEastAsia" w:hAnsiTheme="minorEastAsia" w:eastAsiaTheme="minorEastAsia" w:cstheme="minorEastAsia"/>
          <w:color w:val="000000" w:themeColor="text1"/>
          <w:sz w:val="32"/>
          <w:szCs w:val="32"/>
          <w14:textFill>
            <w14:solidFill>
              <w14:schemeClr w14:val="tx1"/>
            </w14:solidFill>
          </w14:textFill>
        </w:rPr>
        <w:t>强烈的时代特色，力求创造</w:t>
      </w:r>
      <w:r>
        <w:rPr>
          <w:rFonts w:hint="eastAsia" w:asciiTheme="minorEastAsia" w:hAnsiTheme="minorEastAsia" w:eastAsiaTheme="minorEastAsia" w:cstheme="minorEastAsia"/>
          <w:color w:val="000000" w:themeColor="text1"/>
          <w:sz w:val="32"/>
          <w:szCs w:val="32"/>
          <w14:textFill>
            <w14:solidFill>
              <w14:schemeClr w14:val="tx1"/>
            </w14:solidFill>
          </w14:textFill>
        </w:rPr>
        <w:t>，</w:t>
      </w:r>
      <w:r>
        <w:rPr>
          <w:rFonts w:asciiTheme="minorEastAsia" w:hAnsiTheme="minorEastAsia" w:eastAsiaTheme="minorEastAsia" w:cstheme="minorEastAsia"/>
          <w:color w:val="000000" w:themeColor="text1"/>
          <w:sz w:val="32"/>
          <w:szCs w:val="32"/>
          <w14:textFill>
            <w14:solidFill>
              <w14:schemeClr w14:val="tx1"/>
            </w14:solidFill>
          </w14:textFill>
        </w:rPr>
        <w:t>让</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弥城中学展现现代化的教学环境，</w:t>
      </w:r>
      <w:r>
        <w:rPr>
          <w:rFonts w:asciiTheme="minorEastAsia" w:hAnsiTheme="minorEastAsia" w:eastAsiaTheme="minorEastAsia" w:cstheme="minorEastAsia"/>
          <w:color w:val="000000" w:themeColor="text1"/>
          <w:sz w:val="32"/>
          <w:szCs w:val="32"/>
          <w14:textFill>
            <w14:solidFill>
              <w14:schemeClr w14:val="tx1"/>
            </w14:solidFill>
          </w14:textFill>
        </w:rPr>
        <w:t>具有一定的前瞻性并展现出现代化魅力。 塑造校园个性，提升综合环境品味，树立精品意识，体现教育设施鲜明的建筑特色。</w:t>
      </w:r>
    </w:p>
    <w:p>
      <w:pPr>
        <w:spacing w:line="600" w:lineRule="exact"/>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asciiTheme="minorEastAsia" w:hAnsiTheme="minorEastAsia" w:eastAsiaTheme="minorEastAsia" w:cstheme="minorEastAsia"/>
          <w:color w:val="000000" w:themeColor="text1"/>
          <w:sz w:val="32"/>
          <w:szCs w:val="32"/>
          <w14:textFill>
            <w14:solidFill>
              <w14:schemeClr w14:val="tx1"/>
            </w14:solidFill>
          </w14:textFill>
        </w:rPr>
        <w:t>通过建筑、小品等现代材料的应用，建筑造型等的现代化设计，体现时代特色；在景观营造上，以植物造景为主，坚持乔、灌、草多层次复式绿化，坚持环境建设和功能建设同步，创造良好的生态环境和理想的</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教育</w:t>
      </w:r>
      <w:r>
        <w:rPr>
          <w:rFonts w:asciiTheme="minorEastAsia" w:hAnsiTheme="minorEastAsia" w:eastAsiaTheme="minorEastAsia" w:cstheme="minorEastAsia"/>
          <w:color w:val="000000" w:themeColor="text1"/>
          <w:sz w:val="32"/>
          <w:szCs w:val="32"/>
          <w14:textFill>
            <w14:solidFill>
              <w14:schemeClr w14:val="tx1"/>
            </w14:solidFill>
          </w14:textFill>
        </w:rPr>
        <w:t>教学环境，体现人与自然和谐发展的时代要求。</w:t>
      </w:r>
    </w:p>
    <w:p>
      <w:pPr>
        <w:pStyle w:val="3"/>
        <w:rPr>
          <w:color w:val="000000" w:themeColor="text1"/>
          <w14:textFill>
            <w14:solidFill>
              <w14:schemeClr w14:val="tx1"/>
            </w14:solidFill>
          </w14:textFill>
        </w:rPr>
      </w:pPr>
      <w:bookmarkStart w:id="24" w:name="_Toc31442_WPSOffice_Level2"/>
      <w:bookmarkStart w:id="25" w:name="_Toc26735"/>
      <w:r>
        <w:rPr>
          <w:rFonts w:hint="eastAsia"/>
          <w:color w:val="000000" w:themeColor="text1"/>
          <w14:textFill>
            <w14:solidFill>
              <w14:schemeClr w14:val="tx1"/>
            </w14:solidFill>
          </w14:textFill>
        </w:rPr>
        <w:t xml:space="preserve">3.2 </w:t>
      </w:r>
      <w:bookmarkEnd w:id="24"/>
      <w:r>
        <w:rPr>
          <w:rFonts w:hint="eastAsia"/>
          <w:color w:val="000000" w:themeColor="text1"/>
          <w14:textFill>
            <w14:solidFill>
              <w14:schemeClr w14:val="tx1"/>
            </w14:solidFill>
          </w14:textFill>
        </w:rPr>
        <w:t>设计思路</w:t>
      </w:r>
      <w:bookmarkEnd w:id="25"/>
    </w:p>
    <w:p>
      <w:pPr>
        <w:spacing w:line="600" w:lineRule="exact"/>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bookmarkStart w:id="26" w:name="_Toc27527_WPSOffice_Level2"/>
      <w:r>
        <w:rPr>
          <w:rFonts w:hint="eastAsia" w:asciiTheme="minorEastAsia" w:hAnsiTheme="minorEastAsia" w:eastAsiaTheme="minorEastAsia" w:cstheme="minorEastAsia"/>
          <w:color w:val="000000" w:themeColor="text1"/>
          <w:sz w:val="32"/>
          <w:szCs w:val="32"/>
          <w14:textFill>
            <w14:solidFill>
              <w14:schemeClr w14:val="tx1"/>
            </w14:solidFill>
          </w14:textFill>
        </w:rPr>
        <w:t>立意建筑景观化，交通人性化，环境生态化，山水、草木、 建筑共生共融</w:t>
      </w:r>
    </w:p>
    <w:p>
      <w:pPr>
        <w:spacing w:line="600" w:lineRule="exact"/>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（1）科学合理，技术先进，满足需要与合理调配，从总体布局到各功能房间布局，立足于既照顾当地的现实可能，也考虑其前瞻性，为</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弥城中学</w:t>
      </w:r>
      <w:r>
        <w:rPr>
          <w:rFonts w:hint="eastAsia" w:asciiTheme="minorEastAsia" w:hAnsiTheme="minorEastAsia" w:eastAsiaTheme="minorEastAsia" w:cstheme="minorEastAsia"/>
          <w:color w:val="000000" w:themeColor="text1"/>
          <w:sz w:val="32"/>
          <w:szCs w:val="32"/>
          <w14:textFill>
            <w14:solidFill>
              <w14:schemeClr w14:val="tx1"/>
            </w14:solidFill>
          </w14:textFill>
        </w:rPr>
        <w:t>发展奠定坚实的硬件基础框架。</w:t>
      </w:r>
    </w:p>
    <w:p>
      <w:pPr>
        <w:spacing w:line="600" w:lineRule="exact"/>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w:t>
      </w:r>
      <w:r>
        <w:rPr>
          <w:rFonts w:asciiTheme="minorEastAsia" w:hAnsiTheme="minorEastAsia" w:eastAsiaTheme="minorEastAsia" w:cstheme="minorEastAsia"/>
          <w:color w:val="000000" w:themeColor="text1"/>
          <w:sz w:val="32"/>
          <w:szCs w:val="32"/>
          <w14:textFill>
            <w14:solidFill>
              <w14:schemeClr w14:val="tx1"/>
            </w14:solidFill>
          </w14:textFill>
        </w:rPr>
        <w:t>合理选址，统筹规划，功能布局合理，科学，经济高效，通过对人流、</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车</w:t>
      </w:r>
      <w:r>
        <w:rPr>
          <w:rFonts w:asciiTheme="minorEastAsia" w:hAnsiTheme="minorEastAsia" w:eastAsiaTheme="minorEastAsia" w:cstheme="minorEastAsia"/>
          <w:color w:val="000000" w:themeColor="text1"/>
          <w:sz w:val="32"/>
          <w:szCs w:val="32"/>
          <w14:textFill>
            <w14:solidFill>
              <w14:schemeClr w14:val="tx1"/>
            </w14:solidFill>
          </w14:textFill>
        </w:rPr>
        <w:t>流的详细分析，无论从大的布局到各功能区域的具体布局，项目的建设设计方案遵循各功能明确分区，分流的原则，并使各部分人流从功能使用上予以分流。</w:t>
      </w:r>
    </w:p>
    <w:p>
      <w:pPr>
        <w:spacing w:line="600" w:lineRule="exact"/>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（3）</w:t>
      </w:r>
      <w:r>
        <w:rPr>
          <w:rFonts w:asciiTheme="minorEastAsia" w:hAnsiTheme="minorEastAsia" w:eastAsiaTheme="minorEastAsia" w:cstheme="minorEastAsia"/>
          <w:color w:val="000000" w:themeColor="text1"/>
          <w:sz w:val="32"/>
          <w:szCs w:val="32"/>
          <w14:textFill>
            <w14:solidFill>
              <w14:schemeClr w14:val="tx1"/>
            </w14:solidFill>
          </w14:textFill>
        </w:rPr>
        <w:t>遵从 “以人为本” 的原则，设计中注重建筑与外部环境在空间尺度与环境生态上的统一与协调，创造亲切、舒适、融时代与传统于一体的富有自然人文气息的生活学习空间。建筑形式上力求简洁、明快，体现建筑稳重、外向的特征，利用现有的地形及环境提出最佳的规划和建筑方案。</w:t>
      </w:r>
    </w:p>
    <w:p>
      <w:pPr>
        <w:spacing w:line="600" w:lineRule="exact"/>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bookmarkStart w:id="27" w:name="_Toc26672"/>
      <w:bookmarkStart w:id="28" w:name="_Toc12362"/>
      <w:r>
        <w:rPr>
          <w:rFonts w:hint="eastAsia" w:asciiTheme="minorEastAsia" w:hAnsiTheme="minorEastAsia" w:eastAsiaTheme="minorEastAsia" w:cstheme="minorEastAsia"/>
          <w:color w:val="000000" w:themeColor="text1"/>
          <w:sz w:val="32"/>
          <w:szCs w:val="32"/>
          <w14:textFill>
            <w14:solidFill>
              <w14:schemeClr w14:val="tx1"/>
            </w14:solidFill>
          </w14:textFill>
        </w:rPr>
        <w:t>（4）“绿色设计”的理念，运用环保、节能等各方面的新技术，保证整个设计</w:t>
      </w:r>
      <w:r>
        <w:rPr>
          <w:rFonts w:asciiTheme="minorEastAsia" w:hAnsiTheme="minorEastAsia" w:eastAsiaTheme="minorEastAsia" w:cstheme="minorEastAsia"/>
          <w:color w:val="000000" w:themeColor="text1"/>
          <w:sz w:val="32"/>
          <w:szCs w:val="32"/>
          <w14:textFill>
            <w14:solidFill>
              <w14:schemeClr w14:val="tx1"/>
            </w14:solidFill>
          </w14:textFill>
        </w:rPr>
        <w:t>方案具有较高的性价比</w:t>
      </w:r>
      <w:bookmarkEnd w:id="27"/>
      <w:bookmarkEnd w:id="28"/>
      <w:r>
        <w:rPr>
          <w:rFonts w:hint="eastAsia" w:asciiTheme="minorEastAsia" w:hAnsiTheme="minorEastAsia" w:eastAsiaTheme="minorEastAsia" w:cstheme="minorEastAsia"/>
          <w:color w:val="000000" w:themeColor="text1"/>
          <w:sz w:val="32"/>
          <w:szCs w:val="32"/>
          <w14:textFill>
            <w14:solidFill>
              <w14:schemeClr w14:val="tx1"/>
            </w14:solidFill>
          </w14:textFill>
        </w:rPr>
        <w:t>。</w:t>
      </w:r>
    </w:p>
    <w:p>
      <w:pPr>
        <w:pStyle w:val="3"/>
        <w:rPr>
          <w:color w:val="000000" w:themeColor="text1"/>
          <w14:textFill>
            <w14:solidFill>
              <w14:schemeClr w14:val="tx1"/>
            </w14:solidFill>
          </w14:textFill>
        </w:rPr>
      </w:pPr>
      <w:bookmarkStart w:id="29" w:name="_Toc1818"/>
      <w:r>
        <w:rPr>
          <w:rFonts w:hint="eastAsia"/>
          <w:color w:val="000000" w:themeColor="text1"/>
          <w14:textFill>
            <w14:solidFill>
              <w14:schemeClr w14:val="tx1"/>
            </w14:solidFill>
          </w14:textFill>
        </w:rPr>
        <w:t>3.3规划设计原则</w:t>
      </w:r>
      <w:bookmarkEnd w:id="26"/>
      <w:bookmarkEnd w:id="29"/>
    </w:p>
    <w:p>
      <w:pPr>
        <w:spacing w:line="600" w:lineRule="exact"/>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bookmarkStart w:id="30" w:name="_Toc16381_WPSOffice_Level2"/>
      <w:r>
        <w:rPr>
          <w:rFonts w:asciiTheme="minorEastAsia" w:hAnsiTheme="minorEastAsia" w:eastAsiaTheme="minorEastAsia" w:cstheme="minorEastAsia"/>
          <w:color w:val="000000" w:themeColor="text1"/>
          <w:sz w:val="32"/>
          <w:szCs w:val="32"/>
          <w14:textFill>
            <w14:solidFill>
              <w14:schemeClr w14:val="tx1"/>
            </w14:solidFill>
          </w14:textFill>
        </w:rPr>
        <w:t>注重功能设计、环保设计和美感设计相结合，体现“功能优先、节能环保、综合利用”的原则，满足教学功能要求， 有利于学生身心健康，合理安排学校用地的原则；</w:t>
      </w:r>
    </w:p>
    <w:p>
      <w:pPr>
        <w:spacing w:line="600" w:lineRule="exact"/>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asciiTheme="minorEastAsia" w:hAnsiTheme="minorEastAsia" w:eastAsiaTheme="minorEastAsia" w:cstheme="minorEastAsia"/>
          <w:color w:val="000000" w:themeColor="text1"/>
          <w:sz w:val="32"/>
          <w:szCs w:val="32"/>
          <w14:textFill>
            <w14:solidFill>
              <w14:schemeClr w14:val="tx1"/>
            </w14:solidFill>
          </w14:textFill>
        </w:rPr>
        <w:t>功能分区合理，顺畅组织人流，满足交通、消防等功能需求。</w:t>
      </w:r>
    </w:p>
    <w:p>
      <w:pPr>
        <w:spacing w:line="600" w:lineRule="exact"/>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asciiTheme="minorEastAsia" w:hAnsiTheme="minorEastAsia" w:eastAsiaTheme="minorEastAsia" w:cstheme="minorEastAsia"/>
          <w:color w:val="000000" w:themeColor="text1"/>
          <w:sz w:val="32"/>
          <w:szCs w:val="32"/>
          <w14:textFill>
            <w14:solidFill>
              <w14:schemeClr w14:val="tx1"/>
            </w14:solidFill>
          </w14:textFill>
        </w:rPr>
        <w:t>结合地形、地势，进行总体布局与竖向设计。设计应充分发掘本地的历史文化内涵，充分理解、尊重地域文化，利用特定的符号、特征，充分利用地方建筑材料， 通过有机组织，体现地方特色，延续和创新历史文脉。</w:t>
      </w:r>
    </w:p>
    <w:p>
      <w:pPr>
        <w:spacing w:line="600" w:lineRule="exact"/>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asciiTheme="minorEastAsia" w:hAnsiTheme="minorEastAsia" w:eastAsiaTheme="minorEastAsia" w:cstheme="minorEastAsia"/>
          <w:color w:val="000000" w:themeColor="text1"/>
          <w:sz w:val="32"/>
          <w:szCs w:val="32"/>
          <w14:textFill>
            <w14:solidFill>
              <w14:schemeClr w14:val="tx1"/>
            </w14:solidFill>
          </w14:textFill>
        </w:rPr>
        <w:t>坚持适合青少年德育、智育、体育、美育全面发展的学校环境的原则，建设符合</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中</w:t>
      </w:r>
      <w:r>
        <w:rPr>
          <w:rFonts w:hint="eastAsia" w:asciiTheme="minorEastAsia" w:hAnsiTheme="minorEastAsia" w:eastAsiaTheme="minorEastAsia" w:cstheme="minorEastAsia"/>
          <w:color w:val="000000" w:themeColor="text1"/>
          <w:sz w:val="32"/>
          <w:szCs w:val="32"/>
          <w14:textFill>
            <w14:solidFill>
              <w14:schemeClr w14:val="tx1"/>
            </w14:solidFill>
          </w14:textFill>
        </w:rPr>
        <w:t>学生</w:t>
      </w:r>
      <w:r>
        <w:rPr>
          <w:rFonts w:asciiTheme="minorEastAsia" w:hAnsiTheme="minorEastAsia" w:eastAsiaTheme="minorEastAsia" w:cstheme="minorEastAsia"/>
          <w:color w:val="000000" w:themeColor="text1"/>
          <w:sz w:val="32"/>
          <w:szCs w:val="32"/>
          <w14:textFill>
            <w14:solidFill>
              <w14:schemeClr w14:val="tx1"/>
            </w14:solidFill>
          </w14:textFill>
        </w:rPr>
        <w:t>教育特色的校园；</w:t>
      </w:r>
    </w:p>
    <w:p>
      <w:pPr>
        <w:spacing w:line="600" w:lineRule="exact"/>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asciiTheme="minorEastAsia" w:hAnsiTheme="minorEastAsia" w:eastAsiaTheme="minorEastAsia" w:cstheme="minorEastAsia"/>
          <w:color w:val="000000" w:themeColor="text1"/>
          <w:sz w:val="32"/>
          <w:szCs w:val="32"/>
          <w14:textFill>
            <w14:solidFill>
              <w14:schemeClr w14:val="tx1"/>
            </w14:solidFill>
          </w14:textFill>
        </w:rPr>
        <w:t>坚持科学、经济、可行的原则，依据场地地形，按照高起点、现代化和综合性的要求，</w:t>
      </w:r>
      <w:r>
        <w:rPr>
          <w:rFonts w:hint="eastAsia" w:asciiTheme="minorEastAsia" w:hAnsiTheme="minorEastAsia" w:eastAsiaTheme="minorEastAsia" w:cstheme="minorEastAsia"/>
          <w:color w:val="000000" w:themeColor="text1"/>
          <w:sz w:val="32"/>
          <w:szCs w:val="32"/>
          <w14:textFill>
            <w14:solidFill>
              <w14:schemeClr w14:val="tx1"/>
            </w14:solidFill>
          </w14:textFill>
        </w:rPr>
        <w:t>一</w:t>
      </w:r>
      <w:r>
        <w:rPr>
          <w:rFonts w:asciiTheme="minorEastAsia" w:hAnsiTheme="minorEastAsia" w:eastAsiaTheme="minorEastAsia" w:cstheme="minorEastAsia"/>
          <w:color w:val="000000" w:themeColor="text1"/>
          <w:sz w:val="32"/>
          <w:szCs w:val="32"/>
          <w14:textFill>
            <w14:solidFill>
              <w14:schemeClr w14:val="tx1"/>
            </w14:solidFill>
          </w14:textFill>
        </w:rPr>
        <w:t>次性整体规划，建设成功能完善、设施先进的现代新校园；</w:t>
      </w:r>
    </w:p>
    <w:p>
      <w:pPr>
        <w:spacing w:line="600" w:lineRule="exact"/>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asciiTheme="minorEastAsia" w:hAnsiTheme="minorEastAsia" w:eastAsiaTheme="minorEastAsia" w:cstheme="minorEastAsia"/>
          <w:color w:val="000000" w:themeColor="text1"/>
          <w:sz w:val="32"/>
          <w:szCs w:val="32"/>
          <w14:textFill>
            <w14:solidFill>
              <w14:schemeClr w14:val="tx1"/>
            </w14:solidFill>
          </w14:textFill>
        </w:rPr>
        <w:t>环保</w:t>
      </w:r>
      <w:r>
        <w:rPr>
          <w:rFonts w:hint="eastAsia" w:asciiTheme="minorEastAsia" w:hAnsiTheme="minorEastAsia" w:eastAsiaTheme="minorEastAsia" w:cstheme="minorEastAsia"/>
          <w:color w:val="000000" w:themeColor="text1"/>
          <w:sz w:val="32"/>
          <w:szCs w:val="32"/>
          <w14:textFill>
            <w14:solidFill>
              <w14:schemeClr w14:val="tx1"/>
            </w14:solidFill>
          </w14:textFill>
        </w:rPr>
        <w:t>、</w:t>
      </w:r>
      <w:r>
        <w:rPr>
          <w:rFonts w:asciiTheme="minorEastAsia" w:hAnsiTheme="minorEastAsia" w:eastAsiaTheme="minorEastAsia" w:cstheme="minorEastAsia"/>
          <w:color w:val="000000" w:themeColor="text1"/>
          <w:sz w:val="32"/>
          <w:szCs w:val="32"/>
          <w14:textFill>
            <w14:solidFill>
              <w14:schemeClr w14:val="tx1"/>
            </w14:solidFill>
          </w14:textFill>
        </w:rPr>
        <w:t>节能：充分重视建筑的环保节能需求，并各自形成景观</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空间</w:t>
      </w:r>
      <w:r>
        <w:rPr>
          <w:rFonts w:asciiTheme="minorEastAsia" w:hAnsiTheme="minorEastAsia" w:eastAsiaTheme="minorEastAsia" w:cstheme="minorEastAsia"/>
          <w:color w:val="000000" w:themeColor="text1"/>
          <w:sz w:val="32"/>
          <w:szCs w:val="32"/>
          <w14:textFill>
            <w14:solidFill>
              <w14:schemeClr w14:val="tx1"/>
            </w14:solidFill>
          </w14:textFill>
        </w:rPr>
        <w:t>，在与周边环境共融互通的同时，最大限度实现自然通风采光，节能降耗。</w:t>
      </w:r>
    </w:p>
    <w:bookmarkEnd w:id="30"/>
    <w:p>
      <w:pPr>
        <w:pStyle w:val="2"/>
        <w:jc w:val="center"/>
        <w:rPr>
          <w:rFonts w:hint="eastAsia"/>
          <w:color w:val="000000" w:themeColor="text1"/>
          <w14:textFill>
            <w14:solidFill>
              <w14:schemeClr w14:val="tx1"/>
            </w14:solidFill>
          </w14:textFill>
        </w:rPr>
      </w:pPr>
      <w:bookmarkStart w:id="31" w:name="_Toc24735_WPSOffice_Level1"/>
      <w:bookmarkStart w:id="32" w:name="_Toc17284"/>
    </w:p>
    <w:p>
      <w:pPr>
        <w:pStyle w:val="2"/>
        <w:jc w:val="center"/>
        <w:rPr>
          <w:rFonts w:hint="eastAsia"/>
          <w:color w:val="000000" w:themeColor="text1"/>
          <w14:textFill>
            <w14:solidFill>
              <w14:schemeClr w14:val="tx1"/>
            </w14:solidFill>
          </w14:textFill>
        </w:rPr>
      </w:pPr>
    </w:p>
    <w:p>
      <w:pPr>
        <w:pStyle w:val="2"/>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第四章  基地分析</w:t>
      </w:r>
      <w:bookmarkEnd w:id="31"/>
      <w:bookmarkEnd w:id="32"/>
    </w:p>
    <w:p>
      <w:pPr>
        <w:pStyle w:val="3"/>
        <w:rPr>
          <w:color w:val="000000" w:themeColor="text1"/>
          <w14:textFill>
            <w14:solidFill>
              <w14:schemeClr w14:val="tx1"/>
            </w14:solidFill>
          </w14:textFill>
        </w:rPr>
      </w:pPr>
      <w:bookmarkStart w:id="33" w:name="_Toc23308_WPSOffice_Level2"/>
      <w:bookmarkStart w:id="34" w:name="_Toc17208"/>
      <w:r>
        <w:rPr>
          <w:rFonts w:hint="eastAsia"/>
          <w:color w:val="000000" w:themeColor="text1"/>
          <w14:textFill>
            <w14:solidFill>
              <w14:schemeClr w14:val="tx1"/>
            </w14:solidFill>
          </w14:textFill>
        </w:rPr>
        <w:t>4.1场地地貌与高程分析</w:t>
      </w:r>
      <w:bookmarkEnd w:id="33"/>
      <w:bookmarkEnd w:id="34"/>
    </w:p>
    <w:p>
      <w:pPr>
        <w:ind w:right="-4" w:rightChars="-2"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拟建场地位于</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弥城中学西南方向，原粮食局和烟草公司用地</w:t>
      </w:r>
      <w:r>
        <w:rPr>
          <w:rFonts w:hint="eastAsia" w:asciiTheme="minorEastAsia" w:hAnsiTheme="minorEastAsia" w:eastAsiaTheme="minorEastAsia" w:cstheme="minorEastAsia"/>
          <w:color w:val="000000" w:themeColor="text1"/>
          <w:sz w:val="32"/>
          <w:szCs w:val="32"/>
          <w14:textFill>
            <w14:solidFill>
              <w14:schemeClr w14:val="tx1"/>
            </w14:solidFill>
          </w14:textFill>
        </w:rPr>
        <w:t>。总用地面积31147.66㎡。场地不规则,</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原粮食局新增用地</w:t>
      </w:r>
      <w:r>
        <w:rPr>
          <w:rFonts w:hint="eastAsia" w:asciiTheme="minorEastAsia" w:hAnsiTheme="minorEastAsia" w:eastAsiaTheme="minorEastAsia" w:cstheme="minorEastAsia"/>
          <w:color w:val="000000" w:themeColor="text1"/>
          <w:sz w:val="32"/>
          <w:szCs w:val="32"/>
          <w14:textFill>
            <w14:solidFill>
              <w14:schemeClr w14:val="tx1"/>
            </w14:solidFill>
          </w14:textFill>
        </w:rPr>
        <w:t>现状场地地表高程介于1</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645</w:t>
      </w:r>
      <w:r>
        <w:rPr>
          <w:rFonts w:hint="eastAsia" w:asciiTheme="minorEastAsia" w:hAnsiTheme="minorEastAsia" w:eastAsiaTheme="minorEastAsia" w:cstheme="minorEastAsia"/>
          <w:color w:val="000000" w:themeColor="text1"/>
          <w:sz w:val="32"/>
          <w:szCs w:val="32"/>
          <w14:textFill>
            <w14:solidFill>
              <w14:schemeClr w14:val="tx1"/>
            </w14:solidFill>
          </w14:textFill>
        </w:rPr>
        <w:t>.</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sz w:val="32"/>
          <w:szCs w:val="32"/>
          <w14:textFill>
            <w14:solidFill>
              <w14:schemeClr w14:val="tx1"/>
            </w14:solidFill>
          </w14:textFill>
        </w:rPr>
        <w:t>0m至1</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653.00</w:t>
      </w:r>
      <w:r>
        <w:rPr>
          <w:rFonts w:hint="eastAsia" w:asciiTheme="minorEastAsia" w:hAnsiTheme="minorEastAsia" w:eastAsiaTheme="minorEastAsia" w:cstheme="minorEastAsia"/>
          <w:color w:val="000000" w:themeColor="text1"/>
          <w:sz w:val="32"/>
          <w:szCs w:val="32"/>
          <w14:textFill>
            <w14:solidFill>
              <w14:schemeClr w14:val="tx1"/>
            </w14:solidFill>
          </w14:textFill>
        </w:rPr>
        <w:t>m之间,最大高差约</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32"/>
          <w:szCs w:val="32"/>
          <w14:textFill>
            <w14:solidFill>
              <w14:schemeClr w14:val="tx1"/>
            </w14:solidFill>
          </w14:textFill>
        </w:rPr>
        <w:t>.00m。</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原烟草公司新增用地</w:t>
      </w:r>
      <w:r>
        <w:rPr>
          <w:rFonts w:hint="eastAsia" w:asciiTheme="minorEastAsia" w:hAnsiTheme="minorEastAsia" w:eastAsiaTheme="minorEastAsia" w:cstheme="minorEastAsia"/>
          <w:color w:val="000000" w:themeColor="text1"/>
          <w:sz w:val="32"/>
          <w:szCs w:val="32"/>
          <w14:textFill>
            <w14:solidFill>
              <w14:schemeClr w14:val="tx1"/>
            </w14:solidFill>
          </w14:textFill>
        </w:rPr>
        <w:t>现状场地地表高程介于1</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652</w:t>
      </w:r>
      <w:r>
        <w:rPr>
          <w:rFonts w:hint="eastAsia" w:asciiTheme="minorEastAsia" w:hAnsiTheme="minorEastAsia" w:eastAsiaTheme="minorEastAsia" w:cstheme="minorEastAsia"/>
          <w:color w:val="000000" w:themeColor="text1"/>
          <w:sz w:val="32"/>
          <w:szCs w:val="32"/>
          <w14:textFill>
            <w14:solidFill>
              <w14:schemeClr w14:val="tx1"/>
            </w14:solidFill>
          </w14:textFill>
        </w:rPr>
        <w:t>.00m至1</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657.00</w:t>
      </w:r>
      <w:r>
        <w:rPr>
          <w:rFonts w:hint="eastAsia" w:asciiTheme="minorEastAsia" w:hAnsiTheme="minorEastAsia" w:eastAsiaTheme="minorEastAsia" w:cstheme="minorEastAsia"/>
          <w:color w:val="000000" w:themeColor="text1"/>
          <w:sz w:val="32"/>
          <w:szCs w:val="32"/>
          <w14:textFill>
            <w14:solidFill>
              <w14:schemeClr w14:val="tx1"/>
            </w14:solidFill>
          </w14:textFill>
        </w:rPr>
        <w:t>m之间,最大高差约</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32"/>
          <w:szCs w:val="32"/>
          <w14:textFill>
            <w14:solidFill>
              <w14:schemeClr w14:val="tx1"/>
            </w14:solidFill>
          </w14:textFill>
        </w:rPr>
        <w:t>.00m。场地地基较好，宜于建设。</w:t>
      </w:r>
    </w:p>
    <w:p>
      <w:pPr>
        <w:pStyle w:val="3"/>
        <w:rPr>
          <w:color w:val="000000" w:themeColor="text1"/>
          <w14:textFill>
            <w14:solidFill>
              <w14:schemeClr w14:val="tx1"/>
            </w14:solidFill>
          </w14:textFill>
        </w:rPr>
      </w:pPr>
      <w:bookmarkStart w:id="35" w:name="_Toc27315"/>
      <w:bookmarkStart w:id="36" w:name="_Toc23551_WPSOffice_Level2"/>
      <w:r>
        <w:rPr>
          <w:rFonts w:hint="eastAsia"/>
          <w:color w:val="000000" w:themeColor="text1"/>
          <w14:textFill>
            <w14:solidFill>
              <w14:schemeClr w14:val="tx1"/>
            </w14:solidFill>
          </w14:textFill>
        </w:rPr>
        <w:t>4.2 基地工程地质情况</w:t>
      </w:r>
      <w:bookmarkEnd w:id="35"/>
      <w:bookmarkEnd w:id="36"/>
    </w:p>
    <w:p>
      <w:pPr>
        <w:spacing w:line="600" w:lineRule="exact"/>
        <w:ind w:firstLine="640" w:firstLineChars="200"/>
        <w:rPr>
          <w:rFonts w:ascii="宋体" w:hAnsi="宋体"/>
          <w:color w:val="000000" w:themeColor="text1"/>
          <w:sz w:val="32"/>
          <w:szCs w:val="32"/>
          <w14:textFill>
            <w14:solidFill>
              <w14:schemeClr w14:val="tx1"/>
            </w14:solidFill>
          </w14:textFill>
        </w:rPr>
      </w:pPr>
      <w:bookmarkStart w:id="37" w:name="_Toc17749"/>
      <w:bookmarkStart w:id="38" w:name="_Toc14864"/>
      <w:bookmarkStart w:id="39" w:name="_Toc20598_WPSOffice_Level2"/>
      <w:r>
        <w:rPr>
          <w:rFonts w:hint="eastAsia" w:ascii="宋体" w:hAnsi="宋体"/>
          <w:color w:val="000000" w:themeColor="text1"/>
          <w:sz w:val="32"/>
          <w:szCs w:val="32"/>
          <w14:textFill>
            <w14:solidFill>
              <w14:schemeClr w14:val="tx1"/>
            </w14:solidFill>
          </w14:textFill>
        </w:rPr>
        <w:t>(1)工程地质条件</w:t>
      </w:r>
      <w:bookmarkEnd w:id="37"/>
      <w:bookmarkEnd w:id="38"/>
    </w:p>
    <w:p>
      <w:pPr>
        <w:spacing w:line="600" w:lineRule="exact"/>
        <w:ind w:firstLine="640" w:firstLineChars="200"/>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参照周边建筑勘察报告，建设场地内土层坚硬，无切割较深的沟谷及陡壁边坡，无滑坡、崩塌、泥石流、坍塌、漏斗、地面沉陷等不良地质作用和灾害地质现象，场地的稳定性较好，属于基本稳定场地，适宜本项目的工程建设。</w:t>
      </w:r>
    </w:p>
    <w:p>
      <w:pPr>
        <w:spacing w:line="600" w:lineRule="exact"/>
        <w:ind w:firstLine="640" w:firstLineChars="200"/>
        <w:rPr>
          <w:rFonts w:ascii="宋体" w:hAnsi="宋体"/>
          <w:color w:val="000000" w:themeColor="text1"/>
          <w:sz w:val="32"/>
          <w:szCs w:val="32"/>
          <w14:textFill>
            <w14:solidFill>
              <w14:schemeClr w14:val="tx1"/>
            </w14:solidFill>
          </w14:textFill>
        </w:rPr>
      </w:pPr>
      <w:bookmarkStart w:id="40" w:name="_Toc15164"/>
      <w:bookmarkStart w:id="41" w:name="_Toc29141"/>
      <w:r>
        <w:rPr>
          <w:rFonts w:hint="eastAsia" w:ascii="宋体" w:hAnsi="宋体"/>
          <w:color w:val="000000" w:themeColor="text1"/>
          <w:sz w:val="32"/>
          <w:szCs w:val="32"/>
          <w14:textFill>
            <w14:solidFill>
              <w14:schemeClr w14:val="tx1"/>
            </w14:solidFill>
          </w14:textFill>
        </w:rPr>
        <w:t>(2)水文地质条件</w:t>
      </w:r>
      <w:bookmarkEnd w:id="40"/>
      <w:bookmarkEnd w:id="41"/>
    </w:p>
    <w:p>
      <w:pPr>
        <w:spacing w:line="600" w:lineRule="exact"/>
        <w:ind w:firstLine="640" w:firstLineChars="200"/>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本工程建设场地地质情况较好，无地震液化等不良地质现象，</w:t>
      </w:r>
      <w:r>
        <w:rPr>
          <w:rFonts w:ascii="宋体" w:hAnsi="宋体"/>
          <w:color w:val="000000" w:themeColor="text1"/>
          <w:sz w:val="32"/>
          <w:szCs w:val="32"/>
          <w14:textFill>
            <w14:solidFill>
              <w14:schemeClr w14:val="tx1"/>
            </w14:solidFill>
          </w14:textFill>
        </w:rPr>
        <w:t>地下水对</w:t>
      </w:r>
      <w:r>
        <w:rPr>
          <w:rFonts w:hint="eastAsia" w:ascii="宋体" w:hAnsi="宋体"/>
          <w:color w:val="000000" w:themeColor="text1"/>
          <w:sz w:val="32"/>
          <w:szCs w:val="32"/>
          <w:lang w:eastAsia="zh-CN"/>
          <w14:textFill>
            <w14:solidFill>
              <w14:schemeClr w14:val="tx1"/>
            </w14:solidFill>
          </w14:textFill>
        </w:rPr>
        <w:t>混凝土</w:t>
      </w:r>
      <w:r>
        <w:rPr>
          <w:rFonts w:ascii="宋体" w:hAnsi="宋体"/>
          <w:color w:val="000000" w:themeColor="text1"/>
          <w:sz w:val="32"/>
          <w:szCs w:val="32"/>
          <w14:textFill>
            <w14:solidFill>
              <w14:schemeClr w14:val="tx1"/>
            </w14:solidFill>
          </w14:textFill>
        </w:rPr>
        <w:t>无腐蚀作用，对钢筋</w:t>
      </w:r>
      <w:r>
        <w:rPr>
          <w:rFonts w:hint="eastAsia" w:ascii="宋体" w:hAnsi="宋体"/>
          <w:color w:val="000000" w:themeColor="text1"/>
          <w:sz w:val="32"/>
          <w:szCs w:val="32"/>
          <w:lang w:eastAsia="zh-CN"/>
          <w14:textFill>
            <w14:solidFill>
              <w14:schemeClr w14:val="tx1"/>
            </w14:solidFill>
          </w14:textFill>
        </w:rPr>
        <w:t>混凝土</w:t>
      </w:r>
      <w:r>
        <w:rPr>
          <w:rFonts w:ascii="宋体" w:hAnsi="宋体"/>
          <w:color w:val="000000" w:themeColor="text1"/>
          <w:sz w:val="32"/>
          <w:szCs w:val="32"/>
          <w14:textFill>
            <w14:solidFill>
              <w14:schemeClr w14:val="tx1"/>
            </w14:solidFill>
          </w14:textFill>
        </w:rPr>
        <w:t>中钢筋无腐蚀</w:t>
      </w:r>
      <w:r>
        <w:rPr>
          <w:rFonts w:hint="eastAsia" w:ascii="宋体" w:hAnsi="宋体"/>
          <w:color w:val="000000" w:themeColor="text1"/>
          <w:sz w:val="32"/>
          <w:szCs w:val="32"/>
          <w14:textFill>
            <w14:solidFill>
              <w14:schemeClr w14:val="tx1"/>
            </w14:solidFill>
          </w14:textFill>
        </w:rPr>
        <w:t>，适宜进行该项目的建设。</w:t>
      </w:r>
    </w:p>
    <w:p>
      <w:pPr>
        <w:pStyle w:val="3"/>
        <w:rPr>
          <w:color w:val="000000" w:themeColor="text1"/>
          <w14:textFill>
            <w14:solidFill>
              <w14:schemeClr w14:val="tx1"/>
            </w14:solidFill>
          </w14:textFill>
        </w:rPr>
      </w:pPr>
      <w:bookmarkStart w:id="42" w:name="_Toc28715"/>
      <w:r>
        <w:rPr>
          <w:rFonts w:hint="eastAsia"/>
          <w:color w:val="000000" w:themeColor="text1"/>
          <w14:textFill>
            <w14:solidFill>
              <w14:schemeClr w14:val="tx1"/>
            </w14:solidFill>
          </w14:textFill>
        </w:rPr>
        <w:t>4.3基地交通分析</w:t>
      </w:r>
      <w:bookmarkEnd w:id="39"/>
      <w:bookmarkEnd w:id="42"/>
    </w:p>
    <w:p>
      <w:pPr>
        <w:spacing w:line="600" w:lineRule="exact"/>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基地北侧</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可直通弥川大道，东北角紧邻弥城中学老校区，西南侧为市政道路</w:t>
      </w:r>
      <w:r>
        <w:rPr>
          <w:rFonts w:hint="eastAsia" w:asciiTheme="minorEastAsia" w:hAnsiTheme="minorEastAsia" w:eastAsiaTheme="minorEastAsia" w:cstheme="minorEastAsia"/>
          <w:color w:val="000000" w:themeColor="text1"/>
          <w:sz w:val="32"/>
          <w:szCs w:val="32"/>
          <w14:textFill>
            <w14:solidFill>
              <w14:schemeClr w14:val="tx1"/>
            </w14:solidFill>
          </w14:textFill>
        </w:rPr>
        <w:t>，</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该市政道路宽5-6米，现状为基地周边仓储用房和原粮食局用房的货车通行干道，</w:t>
      </w:r>
      <w:r>
        <w:rPr>
          <w:rFonts w:hint="eastAsia" w:asciiTheme="minorEastAsia" w:hAnsiTheme="minorEastAsia" w:eastAsiaTheme="minorEastAsia" w:cstheme="minorEastAsia"/>
          <w:color w:val="000000" w:themeColor="text1"/>
          <w:sz w:val="32"/>
          <w:szCs w:val="32"/>
          <w14:textFill>
            <w14:solidFill>
              <w14:schemeClr w14:val="tx1"/>
            </w14:solidFill>
          </w14:textFill>
        </w:rPr>
        <w:t>且3公里范围内有弥渡汽车客运站，交通十分便捷。</w:t>
      </w:r>
    </w:p>
    <w:p>
      <w:pPr>
        <w:pStyle w:val="3"/>
        <w:rPr>
          <w:color w:val="000000" w:themeColor="text1"/>
          <w14:textFill>
            <w14:solidFill>
              <w14:schemeClr w14:val="tx1"/>
            </w14:solidFill>
          </w14:textFill>
        </w:rPr>
      </w:pPr>
      <w:bookmarkStart w:id="43" w:name="_Toc23804"/>
      <w:bookmarkStart w:id="44" w:name="_Toc7919_WPSOffice_Level2"/>
      <w:r>
        <w:rPr>
          <w:rFonts w:hint="eastAsia"/>
          <w:color w:val="000000" w:themeColor="text1"/>
          <w14:textFill>
            <w14:solidFill>
              <w14:schemeClr w14:val="tx1"/>
            </w14:solidFill>
          </w14:textFill>
        </w:rPr>
        <w:t>4.4基地周边学校分析</w:t>
      </w:r>
      <w:bookmarkEnd w:id="43"/>
      <w:bookmarkEnd w:id="44"/>
    </w:p>
    <w:p>
      <w:pPr>
        <w:spacing w:line="600" w:lineRule="exact"/>
        <w:ind w:firstLine="640" w:firstLineChars="200"/>
        <w:rPr>
          <w:rFonts w:ascii="宋体" w:hAnsi="宋体"/>
          <w:color w:val="000000" w:themeColor="text1"/>
          <w:sz w:val="32"/>
          <w:szCs w:val="32"/>
          <w14:textFill>
            <w14:solidFill>
              <w14:schemeClr w14:val="tx1"/>
            </w14:solidFill>
          </w14:textFill>
        </w:rPr>
      </w:pPr>
      <w:bookmarkStart w:id="45" w:name="_Toc2560_WPSOffice_Level2"/>
      <w:r>
        <w:rPr>
          <w:rFonts w:hint="eastAsia" w:ascii="宋体" w:hAnsi="宋体"/>
          <w:color w:val="000000" w:themeColor="text1"/>
          <w:sz w:val="32"/>
          <w:szCs w:val="32"/>
          <w14:textFill>
            <w14:solidFill>
              <w14:schemeClr w14:val="tx1"/>
            </w14:solidFill>
          </w14:textFill>
        </w:rPr>
        <w:t>项目周边学校分布众多，教育氛围浓重，为此项目的实施奠定良好的基础。</w:t>
      </w:r>
      <w:bookmarkEnd w:id="45"/>
    </w:p>
    <w:p>
      <w:pPr>
        <w:pStyle w:val="3"/>
        <w:rPr>
          <w:color w:val="000000" w:themeColor="text1"/>
          <w14:textFill>
            <w14:solidFill>
              <w14:schemeClr w14:val="tx1"/>
            </w14:solidFill>
          </w14:textFill>
        </w:rPr>
      </w:pPr>
      <w:bookmarkStart w:id="46" w:name="_Toc12445_WPSOffice_Level2"/>
      <w:bookmarkStart w:id="47" w:name="_Toc3083"/>
      <w:r>
        <w:rPr>
          <w:rFonts w:hint="eastAsia"/>
          <w:color w:val="000000" w:themeColor="text1"/>
          <w14:textFill>
            <w14:solidFill>
              <w14:schemeClr w14:val="tx1"/>
            </w14:solidFill>
          </w14:textFill>
        </w:rPr>
        <w:t>4.5 基地视野分析</w:t>
      </w:r>
      <w:bookmarkEnd w:id="46"/>
      <w:bookmarkEnd w:id="47"/>
    </w:p>
    <w:p>
      <w:pPr>
        <w:spacing w:line="600" w:lineRule="exact"/>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项目基地</w:t>
      </w:r>
      <w:r>
        <w:rPr>
          <w:rFonts w:hint="eastAsia" w:ascii="宋体" w:hAnsi="宋体"/>
          <w:color w:val="000000" w:themeColor="text1"/>
          <w:sz w:val="32"/>
          <w:szCs w:val="32"/>
          <w:lang w:val="en-US" w:eastAsia="zh-CN"/>
          <w14:textFill>
            <w14:solidFill>
              <w14:schemeClr w14:val="tx1"/>
            </w14:solidFill>
          </w14:textFill>
        </w:rPr>
        <w:t>较高</w:t>
      </w:r>
      <w:r>
        <w:rPr>
          <w:rFonts w:hint="eastAsia" w:ascii="宋体" w:hAnsi="宋体"/>
          <w:color w:val="000000" w:themeColor="text1"/>
          <w:sz w:val="32"/>
          <w:szCs w:val="32"/>
          <w14:textFill>
            <w14:solidFill>
              <w14:schemeClr w14:val="tx1"/>
            </w14:solidFill>
          </w14:textFill>
        </w:rPr>
        <w:t>，场地内无建筑物和树木遮挡</w:t>
      </w:r>
      <w:r>
        <w:rPr>
          <w:rFonts w:hint="eastAsia" w:asciiTheme="minorEastAsia" w:hAnsiTheme="minorEastAsia" w:eastAsiaTheme="minorEastAsia" w:cstheme="minorEastAsia"/>
          <w:color w:val="000000" w:themeColor="text1"/>
          <w:sz w:val="32"/>
          <w:szCs w:val="32"/>
          <w14:textFill>
            <w14:solidFill>
              <w14:schemeClr w14:val="tx1"/>
            </w14:solidFill>
          </w14:textFill>
        </w:rPr>
        <w:t>视野较为开阔。可以远眺各方向景观。</w:t>
      </w:r>
    </w:p>
    <w:p>
      <w:pPr>
        <w:spacing w:line="600" w:lineRule="exact"/>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p>
    <w:p>
      <w:pPr>
        <w:spacing w:line="600" w:lineRule="exact"/>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p>
    <w:p>
      <w:pPr>
        <w:keepNext/>
        <w:keepLines/>
        <w:spacing w:before="260" w:after="260" w:line="416" w:lineRule="auto"/>
        <w:jc w:val="center"/>
        <w:outlineLvl w:val="0"/>
        <w:rPr>
          <w:rFonts w:ascii="黑体" w:hAnsi="宋体" w:eastAsia="黑体"/>
          <w:b/>
          <w:bCs/>
          <w:color w:val="000000" w:themeColor="text1"/>
          <w:sz w:val="44"/>
          <w:szCs w:val="44"/>
          <w14:textFill>
            <w14:solidFill>
              <w14:schemeClr w14:val="tx1"/>
            </w14:solidFill>
          </w14:textFill>
        </w:rPr>
      </w:pPr>
      <w:bookmarkStart w:id="48" w:name="_Toc9815_WPSOffice_Level1"/>
      <w:bookmarkStart w:id="49" w:name="_Toc5828"/>
      <w:r>
        <w:rPr>
          <w:rStyle w:val="38"/>
          <w:rFonts w:hint="eastAsia"/>
          <w:color w:val="000000" w:themeColor="text1"/>
          <w14:textFill>
            <w14:solidFill>
              <w14:schemeClr w14:val="tx1"/>
            </w14:solidFill>
          </w14:textFill>
        </w:rPr>
        <w:t>第五章  规划设计</w:t>
      </w:r>
      <w:bookmarkEnd w:id="48"/>
      <w:bookmarkEnd w:id="49"/>
    </w:p>
    <w:p>
      <w:pPr>
        <w:pStyle w:val="3"/>
        <w:rPr>
          <w:color w:val="000000" w:themeColor="text1"/>
          <w14:textFill>
            <w14:solidFill>
              <w14:schemeClr w14:val="tx1"/>
            </w14:solidFill>
          </w14:textFill>
        </w:rPr>
      </w:pPr>
      <w:bookmarkStart w:id="50" w:name="_Toc24452_WPSOffice_Level2"/>
      <w:bookmarkStart w:id="51" w:name="_Toc1432"/>
      <w:r>
        <w:rPr>
          <w:rFonts w:hint="eastAsia"/>
          <w:color w:val="000000" w:themeColor="text1"/>
          <w14:textFill>
            <w14:solidFill>
              <w14:schemeClr w14:val="tx1"/>
            </w14:solidFill>
          </w14:textFill>
        </w:rPr>
        <w:t>5.1 总平面规划布置</w:t>
      </w:r>
      <w:bookmarkEnd w:id="50"/>
      <w:bookmarkEnd w:id="51"/>
    </w:p>
    <w:p>
      <w:pPr>
        <w:ind w:right="-4" w:rightChars="-2" w:firstLine="640" w:firstLineChars="200"/>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通过对用地和</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景观</w:t>
      </w:r>
      <w:r>
        <w:rPr>
          <w:rFonts w:hint="eastAsia" w:asciiTheme="minorEastAsia" w:hAnsiTheme="minorEastAsia" w:eastAsiaTheme="minorEastAsia" w:cstheme="minorEastAsia"/>
          <w:color w:val="000000" w:themeColor="text1"/>
          <w:sz w:val="32"/>
          <w:szCs w:val="32"/>
          <w14:textFill>
            <w14:solidFill>
              <w14:schemeClr w14:val="tx1"/>
            </w14:solidFill>
          </w14:textFill>
        </w:rPr>
        <w:t>的设计，结合场地高程特点和场地内外景观有利和不利条件，在地块内利用开敞的景观节点打造数处节点性景观，用景观轴线来安排建筑布局。</w:t>
      </w:r>
    </w:p>
    <w:p>
      <w:pPr>
        <w:ind w:right="-4" w:rightChars="-2" w:firstLine="640" w:firstLineChars="200"/>
        <w:rPr>
          <w:rFonts w:hint="default"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在场地北侧</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预留出10米宽的道路与弥川大道相连接，供水厂公司使用的同时学校也在此处预留出出入口。运动场与原校区之间通过多条步行通道相连接。南侧新建用地则在场地南侧预留消防出入口，仅供学校后勤和紧急消防使用，在北侧预留两条5米步行道让新老校区紧密的联系在一起，原有新老校区之间的高差则通过大台阶相连，满足疏散要求的同时，还能增加趣味空间和学校的气势感。</w:t>
      </w:r>
    </w:p>
    <w:p>
      <w:pPr>
        <w:ind w:right="-4" w:rightChars="-2" w:firstLine="640" w:firstLineChars="200"/>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本次设计</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在原烟草公司新增用地上根据场地形状布置南北向200米环形跑道，场地西侧设置4块篮球场。在原粮食局新增用地上按景观轴线分别在北侧布置教学楼和综合楼，南侧布置体育馆和学生食堂，这样的布置序列即使对原有教学空间的延续，让各功能空间紧密连接在一起，又使各部分沿景观轴线分开，互不影响，同时与中间的景观轴线相融合。</w:t>
      </w:r>
    </w:p>
    <w:p>
      <w:pPr>
        <w:ind w:right="-4" w:rightChars="-2" w:firstLine="640" w:firstLineChars="200"/>
        <w:rPr>
          <w:rFonts w:hint="default"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新建教学楼和综合楼布置在大台阶的两侧，对称式的布局不仅简洁，又让建筑看起来层次更加丰富，新建体育馆解决了学校开大型会议的短板，同时也为学生增加了运动空间，周边的跑道不仅满足运动需求，也能成为学生饭后的休闲步道。东南角放置的食堂不仅解决了原校区食堂就餐空间不足的问题，同时远离教学区，互不影响。</w:t>
      </w:r>
    </w:p>
    <w:p>
      <w:pPr>
        <w:pStyle w:val="3"/>
        <w:rPr>
          <w:color w:val="000000" w:themeColor="text1"/>
          <w14:textFill>
            <w14:solidFill>
              <w14:schemeClr w14:val="tx1"/>
            </w14:solidFill>
          </w14:textFill>
        </w:rPr>
      </w:pPr>
      <w:bookmarkStart w:id="52" w:name="_Toc13960_WPSOffice_Level2"/>
      <w:bookmarkStart w:id="53" w:name="_Toc18450"/>
      <w:r>
        <w:rPr>
          <w:rFonts w:hint="eastAsia"/>
          <w:color w:val="000000" w:themeColor="text1"/>
          <w14:textFill>
            <w14:solidFill>
              <w14:schemeClr w14:val="tx1"/>
            </w14:solidFill>
          </w14:textFill>
        </w:rPr>
        <w:t>5.3建筑竖向设计</w:t>
      </w:r>
      <w:bookmarkEnd w:id="52"/>
      <w:bookmarkEnd w:id="53"/>
    </w:p>
    <w:p>
      <w:pPr>
        <w:ind w:right="-4" w:rightChars="-2" w:firstLine="640" w:firstLineChars="200"/>
        <w:rPr>
          <w:rFonts w:hint="default"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竖向上</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场地坡度较小，根据地势高差放置建筑</w:t>
      </w:r>
      <w:r>
        <w:rPr>
          <w:rFonts w:hint="eastAsia" w:asciiTheme="minorEastAsia" w:hAnsiTheme="minorEastAsia" w:eastAsiaTheme="minorEastAsia" w:cstheme="minorEastAsia"/>
          <w:color w:val="000000" w:themeColor="text1"/>
          <w:sz w:val="32"/>
          <w:szCs w:val="32"/>
          <w14:textFill>
            <w14:solidFill>
              <w14:schemeClr w14:val="tx1"/>
            </w14:solidFill>
          </w14:textFill>
        </w:rPr>
        <w:t>，最大程度上减少挖填方，避免过多过高的挡墙出现，一方面降低成本，同时也提高建成后的安全性和舒适度</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体育馆和学生食堂根据场地高差，采用双首层设计手法，合理解决场地高差，又丰富功能空间。</w:t>
      </w:r>
    </w:p>
    <w:p>
      <w:pPr>
        <w:pStyle w:val="3"/>
        <w:rPr>
          <w:color w:val="000000" w:themeColor="text1"/>
          <w14:textFill>
            <w14:solidFill>
              <w14:schemeClr w14:val="tx1"/>
            </w14:solidFill>
          </w14:textFill>
        </w:rPr>
      </w:pPr>
      <w:bookmarkStart w:id="54" w:name="_Toc24564"/>
      <w:bookmarkStart w:id="55" w:name="_Toc13270_WPSOffice_Level2"/>
      <w:r>
        <w:rPr>
          <w:rFonts w:hint="eastAsia"/>
          <w:color w:val="000000" w:themeColor="text1"/>
          <w14:textFill>
            <w14:solidFill>
              <w14:schemeClr w14:val="tx1"/>
            </w14:solidFill>
          </w14:textFill>
        </w:rPr>
        <w:t>5.4道路交通规划设计</w:t>
      </w:r>
      <w:bookmarkEnd w:id="54"/>
      <w:bookmarkEnd w:id="55"/>
    </w:p>
    <w:p>
      <w:pPr>
        <w:ind w:right="-4" w:rightChars="-2"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新增用地内仅设置4米宽紧急消防通道，南侧新建用地通过两条5米宽人行通道与老校区联通，</w:t>
      </w:r>
      <w:r>
        <w:rPr>
          <w:rFonts w:hint="eastAsia" w:asciiTheme="minorEastAsia" w:hAnsiTheme="minorEastAsia" w:eastAsiaTheme="minorEastAsia" w:cstheme="minorEastAsia"/>
          <w:color w:val="000000" w:themeColor="text1"/>
          <w:sz w:val="32"/>
          <w:szCs w:val="32"/>
          <w14:textFill>
            <w14:solidFill>
              <w14:schemeClr w14:val="tx1"/>
            </w14:solidFill>
          </w14:textFill>
        </w:rPr>
        <w:t>步行道以学校主轴线为主呈枝状式布置，使其贯通各功能分区，丰富内部观景角度，避免过长的尽端道路。</w:t>
      </w:r>
    </w:p>
    <w:p>
      <w:pPr>
        <w:ind w:right="-4" w:rightChars="-2"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步行交通以主轴线步行道为主，便捷的路径联系节点广场和位于不同台地的建筑，通过入户交通集约化和道路变截面等处理方式，进一步分解竖向高差，步行系统与绿化景观密切结合，加大休息与观景设置密度，把步行的过程转化为观景和休闲的享受，实现场地内慢行体系。</w:t>
      </w:r>
    </w:p>
    <w:p>
      <w:pPr>
        <w:pStyle w:val="3"/>
        <w:rPr>
          <w:color w:val="000000" w:themeColor="text1"/>
          <w14:textFill>
            <w14:solidFill>
              <w14:schemeClr w14:val="tx1"/>
            </w14:solidFill>
          </w14:textFill>
        </w:rPr>
      </w:pPr>
      <w:bookmarkStart w:id="56" w:name="_Toc24236_WPSOffice_Level2"/>
      <w:bookmarkStart w:id="57" w:name="_Toc5581"/>
      <w:r>
        <w:rPr>
          <w:rFonts w:hint="eastAsia"/>
          <w:color w:val="000000" w:themeColor="text1"/>
          <w14:textFill>
            <w14:solidFill>
              <w14:schemeClr w14:val="tx1"/>
            </w14:solidFill>
          </w14:textFill>
        </w:rPr>
        <w:t>5.5景观规划设计</w:t>
      </w:r>
      <w:bookmarkEnd w:id="56"/>
      <w:bookmarkEnd w:id="57"/>
    </w:p>
    <w:p>
      <w:pPr>
        <w:ind w:right="-4" w:rightChars="-2" w:firstLine="640" w:firstLineChars="200"/>
        <w:rPr>
          <w:rFonts w:hint="default"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结合建筑总体布局，形成一条主景观轴线，</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一</w:t>
      </w:r>
      <w:r>
        <w:rPr>
          <w:rFonts w:hint="eastAsia" w:asciiTheme="minorEastAsia" w:hAnsiTheme="minorEastAsia" w:eastAsiaTheme="minorEastAsia" w:cstheme="minorEastAsia"/>
          <w:color w:val="000000" w:themeColor="text1"/>
          <w:sz w:val="32"/>
          <w:szCs w:val="32"/>
          <w14:textFill>
            <w14:solidFill>
              <w14:schemeClr w14:val="tx1"/>
            </w14:solidFill>
          </w14:textFill>
        </w:rPr>
        <w:t>条人文景观轴线，贯穿多个景观节点，主景观轴根据场地高差</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南北</w:t>
      </w:r>
      <w:r>
        <w:rPr>
          <w:rFonts w:hint="eastAsia" w:asciiTheme="minorEastAsia" w:hAnsiTheme="minorEastAsia" w:eastAsiaTheme="minorEastAsia" w:cstheme="minorEastAsia"/>
          <w:color w:val="000000" w:themeColor="text1"/>
          <w:sz w:val="32"/>
          <w:szCs w:val="32"/>
          <w14:textFill>
            <w14:solidFill>
              <w14:schemeClr w14:val="tx1"/>
            </w14:solidFill>
          </w14:textFill>
        </w:rPr>
        <w:t>西向布置，既顺应山势又大大增加了学校的气势感，</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同时展现了弥渡“小河淌水”的地域景观。</w:t>
      </w:r>
      <w:r>
        <w:rPr>
          <w:rFonts w:hint="eastAsia" w:asciiTheme="minorEastAsia" w:hAnsiTheme="minorEastAsia" w:eastAsiaTheme="minorEastAsia" w:cstheme="minorEastAsia"/>
          <w:color w:val="000000" w:themeColor="text1"/>
          <w:sz w:val="32"/>
          <w:szCs w:val="32"/>
          <w14:textFill>
            <w14:solidFill>
              <w14:schemeClr w14:val="tx1"/>
            </w14:solidFill>
          </w14:textFill>
        </w:rPr>
        <w:t>人文景观轴线沿</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建筑布局方向</w:t>
      </w:r>
      <w:r>
        <w:rPr>
          <w:rFonts w:hint="eastAsia" w:asciiTheme="minorEastAsia" w:hAnsiTheme="minorEastAsia" w:eastAsiaTheme="minorEastAsia" w:cstheme="minorEastAsia"/>
          <w:color w:val="000000" w:themeColor="text1"/>
          <w:sz w:val="32"/>
          <w:szCs w:val="32"/>
          <w14:textFill>
            <w14:solidFill>
              <w14:schemeClr w14:val="tx1"/>
            </w14:solidFill>
          </w14:textFill>
        </w:rPr>
        <w:t>与主轴线贯穿，丰富了学校的人文景观。在</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各栋建筑前</w:t>
      </w:r>
      <w:r>
        <w:rPr>
          <w:rFonts w:hint="eastAsia" w:asciiTheme="minorEastAsia" w:hAnsiTheme="minorEastAsia" w:eastAsiaTheme="minorEastAsia" w:cstheme="minorEastAsia"/>
          <w:color w:val="000000" w:themeColor="text1"/>
          <w:sz w:val="32"/>
          <w:szCs w:val="32"/>
          <w14:textFill>
            <w14:solidFill>
              <w14:schemeClr w14:val="tx1"/>
            </w14:solidFill>
          </w14:textFill>
        </w:rPr>
        <w:t>设置景观广场，各功能分区周围形成一些点状景观，沿道路设置沿道路景观带。通过景观轴线的贯穿延伸，扩大有利的景观界面，提供更多休憩的观景场所，达到内外景呼应；优化道路线型线形，丰富形成过程中的景观视野。</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食堂南侧保留场地原有的大型树木作为学校的休闲空间，同时增设洗砚池，丰富学校的人文景观。</w:t>
      </w:r>
    </w:p>
    <w:p>
      <w:pPr>
        <w:pStyle w:val="3"/>
        <w:rPr>
          <w:color w:val="000000" w:themeColor="text1"/>
          <w14:textFill>
            <w14:solidFill>
              <w14:schemeClr w14:val="tx1"/>
            </w14:solidFill>
          </w14:textFill>
        </w:rPr>
      </w:pPr>
      <w:bookmarkStart w:id="58" w:name="_Toc26995"/>
      <w:bookmarkStart w:id="59" w:name="_Toc6751_WPSOffice_Level2"/>
      <w:r>
        <w:rPr>
          <w:rFonts w:hint="eastAsia"/>
          <w:color w:val="000000" w:themeColor="text1"/>
          <w14:textFill>
            <w14:solidFill>
              <w14:schemeClr w14:val="tx1"/>
            </w14:solidFill>
          </w14:textFill>
        </w:rPr>
        <w:t>5.5 公共设施规划设计</w:t>
      </w:r>
      <w:bookmarkEnd w:id="58"/>
      <w:bookmarkEnd w:id="59"/>
    </w:p>
    <w:p>
      <w:pPr>
        <w:ind w:right="-4" w:rightChars="-2"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项目</w:t>
      </w:r>
      <w:r>
        <w:rPr>
          <w:rFonts w:hint="eastAsia" w:asciiTheme="minorEastAsia" w:hAnsiTheme="minorEastAsia" w:eastAsiaTheme="minorEastAsia" w:cstheme="minorEastAsia"/>
          <w:color w:val="000000" w:themeColor="text1"/>
          <w:sz w:val="32"/>
          <w:szCs w:val="32"/>
          <w14:textFill>
            <w14:solidFill>
              <w14:schemeClr w14:val="tx1"/>
            </w14:solidFill>
          </w14:textFill>
        </w:rPr>
        <w:t>基地</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位于市区，</w:t>
      </w:r>
      <w:r>
        <w:rPr>
          <w:rFonts w:hint="eastAsia" w:asciiTheme="minorEastAsia" w:hAnsiTheme="minorEastAsia" w:eastAsiaTheme="minorEastAsia" w:cstheme="minorEastAsia"/>
          <w:color w:val="000000" w:themeColor="text1"/>
          <w:sz w:val="32"/>
          <w:szCs w:val="32"/>
          <w14:textFill>
            <w14:solidFill>
              <w14:schemeClr w14:val="tx1"/>
            </w14:solidFill>
          </w14:textFill>
        </w:rPr>
        <w:t>周边共设施建设完备，满足项目的基本要求。</w:t>
      </w:r>
    </w:p>
    <w:p>
      <w:pPr>
        <w:pStyle w:val="3"/>
        <w:rPr>
          <w:color w:val="000000" w:themeColor="text1"/>
          <w14:textFill>
            <w14:solidFill>
              <w14:schemeClr w14:val="tx1"/>
            </w14:solidFill>
          </w14:textFill>
        </w:rPr>
      </w:pPr>
      <w:bookmarkStart w:id="60" w:name="_Toc1504"/>
      <w:bookmarkStart w:id="61" w:name="_Toc1366_WPSOffice_Level2"/>
      <w:r>
        <w:rPr>
          <w:rFonts w:hint="eastAsia"/>
          <w:color w:val="000000" w:themeColor="text1"/>
          <w14:textFill>
            <w14:solidFill>
              <w14:schemeClr w14:val="tx1"/>
            </w14:solidFill>
          </w14:textFill>
        </w:rPr>
        <w:t>5.6 消防设计</w:t>
      </w:r>
      <w:bookmarkEnd w:id="60"/>
      <w:bookmarkEnd w:id="61"/>
    </w:p>
    <w:p>
      <w:pPr>
        <w:ind w:right="-4" w:rightChars="-2"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场地南侧设置紧急消防入口，</w:t>
      </w:r>
      <w:r>
        <w:rPr>
          <w:rFonts w:hint="eastAsia" w:asciiTheme="minorEastAsia" w:hAnsiTheme="minorEastAsia" w:eastAsiaTheme="minorEastAsia" w:cstheme="minorEastAsia"/>
          <w:color w:val="000000" w:themeColor="text1"/>
          <w:sz w:val="32"/>
          <w:szCs w:val="32"/>
          <w14:textFill>
            <w14:solidFill>
              <w14:schemeClr w14:val="tx1"/>
            </w14:solidFill>
          </w14:textFill>
        </w:rPr>
        <w:t>基地内设置</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4米宽</w:t>
      </w:r>
      <w:r>
        <w:rPr>
          <w:rFonts w:hint="eastAsia" w:asciiTheme="minorEastAsia" w:hAnsiTheme="minorEastAsia" w:eastAsiaTheme="minorEastAsia" w:cstheme="minorEastAsia"/>
          <w:color w:val="000000" w:themeColor="text1"/>
          <w:sz w:val="32"/>
          <w:szCs w:val="32"/>
          <w14:textFill>
            <w14:solidFill>
              <w14:schemeClr w14:val="tx1"/>
            </w14:solidFill>
          </w14:textFill>
        </w:rPr>
        <w:t>消防通道，消防通道的宽度满足建筑设计防火规范要求，并设置人群疏散紧急避难通道。</w:t>
      </w:r>
    </w:p>
    <w:p>
      <w:pPr>
        <w:pStyle w:val="3"/>
        <w:rPr>
          <w:color w:val="000000" w:themeColor="text1"/>
          <w14:textFill>
            <w14:solidFill>
              <w14:schemeClr w14:val="tx1"/>
            </w14:solidFill>
          </w14:textFill>
        </w:rPr>
      </w:pPr>
      <w:bookmarkStart w:id="62" w:name="_Toc17841"/>
      <w:bookmarkStart w:id="63" w:name="_Toc12846_WPSOffice_Level2"/>
      <w:r>
        <w:rPr>
          <w:rFonts w:hint="eastAsia"/>
          <w:color w:val="000000" w:themeColor="text1"/>
          <w14:textFill>
            <w14:solidFill>
              <w14:schemeClr w14:val="tx1"/>
            </w14:solidFill>
          </w14:textFill>
        </w:rPr>
        <w:t>5.7无障碍设计</w:t>
      </w:r>
      <w:bookmarkEnd w:id="62"/>
      <w:bookmarkEnd w:id="63"/>
    </w:p>
    <w:p>
      <w:pPr>
        <w:ind w:right="-4" w:rightChars="-2"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基地内坡度均满足无障碍设计规范要求，公共功能房间入口处均设置无障碍坡道。</w:t>
      </w:r>
    </w:p>
    <w:p>
      <w:pPr>
        <w:pStyle w:val="3"/>
        <w:rPr>
          <w:color w:val="000000" w:themeColor="text1"/>
          <w14:textFill>
            <w14:solidFill>
              <w14:schemeClr w14:val="tx1"/>
            </w14:solidFill>
          </w14:textFill>
        </w:rPr>
      </w:pPr>
      <w:bookmarkStart w:id="64" w:name="_Toc30052"/>
      <w:r>
        <w:rPr>
          <w:rFonts w:hint="eastAsia"/>
          <w:color w:val="000000" w:themeColor="text1"/>
          <w14:textFill>
            <w14:solidFill>
              <w14:schemeClr w14:val="tx1"/>
            </w14:solidFill>
          </w14:textFill>
        </w:rPr>
        <w:t>5.8经济技术指标</w:t>
      </w:r>
      <w:bookmarkEnd w:id="64"/>
    </w:p>
    <w:p>
      <w:pPr>
        <w:rPr>
          <w:color w:val="000000" w:themeColor="text1"/>
          <w14:textFill>
            <w14:solidFill>
              <w14:schemeClr w14:val="tx1"/>
            </w14:solidFill>
          </w14:textFill>
        </w:rPr>
      </w:pPr>
      <w:r>
        <w:rPr>
          <w:rFonts w:hint="eastAsia" w:eastAsia="宋体"/>
          <w:color w:val="000000" w:themeColor="text1"/>
          <w:lang w:eastAsia="zh-CN"/>
          <w14:textFill>
            <w14:solidFill>
              <w14:schemeClr w14:val="tx1"/>
            </w14:solidFill>
          </w14:textFill>
        </w:rPr>
        <w:drawing>
          <wp:inline distT="0" distB="0" distL="114300" distR="114300">
            <wp:extent cx="6283960" cy="5991225"/>
            <wp:effectExtent l="0" t="0" r="2540" b="9525"/>
            <wp:docPr id="1" name="图片 1" descr="C:\Users\Administrator\Desktop\指标.jpg指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指标.jpg指标"/>
                    <pic:cNvPicPr>
                      <a:picLocks noChangeAspect="1"/>
                    </pic:cNvPicPr>
                  </pic:nvPicPr>
                  <pic:blipFill>
                    <a:blip r:embed="rId12"/>
                    <a:srcRect/>
                    <a:stretch>
                      <a:fillRect/>
                    </a:stretch>
                  </pic:blipFill>
                  <pic:spPr>
                    <a:xfrm>
                      <a:off x="0" y="0"/>
                      <a:ext cx="6283960" cy="5991225"/>
                    </a:xfrm>
                    <a:prstGeom prst="rect">
                      <a:avLst/>
                    </a:prstGeom>
                  </pic:spPr>
                </pic:pic>
              </a:graphicData>
            </a:graphic>
          </wp:inline>
        </w:drawing>
      </w:r>
    </w:p>
    <w:p>
      <w:pPr>
        <w:pStyle w:val="2"/>
        <w:jc w:val="center"/>
        <w:rPr>
          <w:rFonts w:hint="eastAsia" w:eastAsia="宋体"/>
          <w:color w:val="000000" w:themeColor="text1"/>
          <w:lang w:eastAsia="zh-CN"/>
          <w14:textFill>
            <w14:solidFill>
              <w14:schemeClr w14:val="tx1"/>
            </w14:solidFill>
          </w14:textFill>
        </w:rPr>
      </w:pPr>
      <w:bookmarkStart w:id="65" w:name="_Toc6266_WPSOffice_Level1"/>
      <w:bookmarkStart w:id="66" w:name="_Toc19851"/>
      <w:r>
        <w:rPr>
          <w:rFonts w:hint="eastAsia"/>
          <w:color w:val="000000" w:themeColor="text1"/>
          <w14:textFill>
            <w14:solidFill>
              <w14:schemeClr w14:val="tx1"/>
            </w14:solidFill>
          </w14:textFill>
        </w:rPr>
        <w:t>第六章  建筑设计</w:t>
      </w:r>
      <w:bookmarkEnd w:id="65"/>
      <w:bookmarkEnd w:id="66"/>
    </w:p>
    <w:p>
      <w:pPr>
        <w:pStyle w:val="3"/>
        <w:rPr>
          <w:color w:val="000000" w:themeColor="text1"/>
          <w14:textFill>
            <w14:solidFill>
              <w14:schemeClr w14:val="tx1"/>
            </w14:solidFill>
          </w14:textFill>
        </w:rPr>
      </w:pPr>
      <w:bookmarkStart w:id="67" w:name="_Toc12615"/>
      <w:bookmarkStart w:id="68" w:name="_Toc11206_WPSOffice_Level2"/>
      <w:r>
        <w:rPr>
          <w:rFonts w:hint="eastAsia"/>
          <w:color w:val="000000" w:themeColor="text1"/>
          <w14:textFill>
            <w14:solidFill>
              <w14:schemeClr w14:val="tx1"/>
            </w14:solidFill>
          </w14:textFill>
        </w:rPr>
        <w:t>6.1 设计依据</w:t>
      </w:r>
      <w:bookmarkEnd w:id="67"/>
      <w:bookmarkEnd w:id="68"/>
    </w:p>
    <w:p>
      <w:pPr>
        <w:ind w:right="-4" w:rightChars="-2"/>
        <w:rPr>
          <w:rFonts w:asciiTheme="minorEastAsia" w:hAnsiTheme="minorEastAsia" w:eastAsiaTheme="minorEastAsia" w:cstheme="minorEastAsia"/>
          <w:color w:val="000000" w:themeColor="text1"/>
          <w:sz w:val="32"/>
          <w:szCs w:val="32"/>
          <w14:textFill>
            <w14:solidFill>
              <w14:schemeClr w14:val="tx1"/>
            </w14:solidFill>
          </w14:textFill>
        </w:rPr>
      </w:pPr>
      <w:bookmarkStart w:id="69" w:name="_Toc27403"/>
      <w:bookmarkStart w:id="70" w:name="_Toc3597"/>
      <w:bookmarkStart w:id="71" w:name="_Toc12940_WPSOffice_Level2"/>
      <w:r>
        <w:rPr>
          <w:rFonts w:hint="eastAsia" w:asciiTheme="minorEastAsia" w:hAnsiTheme="minorEastAsia" w:eastAsiaTheme="minorEastAsia" w:cstheme="minorEastAsia"/>
          <w:color w:val="000000" w:themeColor="text1"/>
          <w:sz w:val="32"/>
          <w:szCs w:val="32"/>
          <w14:textFill>
            <w14:solidFill>
              <w14:schemeClr w14:val="tx1"/>
            </w14:solidFill>
          </w14:textFill>
        </w:rPr>
        <w:t xml:space="preserve">1. </w:t>
      </w:r>
      <w:bookmarkEnd w:id="69"/>
      <w:bookmarkEnd w:id="70"/>
      <w:r>
        <w:rPr>
          <w:rFonts w:hint="eastAsia" w:asciiTheme="minorEastAsia" w:hAnsiTheme="minorEastAsia" w:eastAsiaTheme="minorEastAsia" w:cstheme="minorEastAsia"/>
          <w:color w:val="000000" w:themeColor="text1"/>
          <w:sz w:val="32"/>
          <w:szCs w:val="32"/>
          <w14:textFill>
            <w14:solidFill>
              <w14:schemeClr w14:val="tx1"/>
            </w14:solidFill>
          </w14:textFill>
        </w:rPr>
        <w:t>《民用建筑设计统一标准》（GB 50352-2019）</w:t>
      </w:r>
    </w:p>
    <w:p>
      <w:pPr>
        <w:ind w:right="-4" w:rightChars="-2"/>
        <w:rPr>
          <w:rFonts w:asciiTheme="minorEastAsia" w:hAnsiTheme="minorEastAsia" w:eastAsiaTheme="minorEastAsia" w:cstheme="minorEastAsia"/>
          <w:color w:val="000000" w:themeColor="text1"/>
          <w:sz w:val="32"/>
          <w:szCs w:val="32"/>
          <w14:textFill>
            <w14:solidFill>
              <w14:schemeClr w14:val="tx1"/>
            </w14:solidFill>
          </w14:textFill>
        </w:rPr>
      </w:pPr>
      <w:bookmarkStart w:id="72" w:name="_Toc26655"/>
      <w:bookmarkStart w:id="73" w:name="_Toc28547"/>
      <w:r>
        <w:rPr>
          <w:rFonts w:hint="eastAsia" w:asciiTheme="minorEastAsia" w:hAnsiTheme="minorEastAsia" w:eastAsiaTheme="minorEastAsia" w:cstheme="minorEastAsia"/>
          <w:color w:val="000000" w:themeColor="text1"/>
          <w:sz w:val="32"/>
          <w:szCs w:val="32"/>
          <w14:textFill>
            <w14:solidFill>
              <w14:schemeClr w14:val="tx1"/>
            </w14:solidFill>
          </w14:textFill>
        </w:rPr>
        <w:t>2. 《办公建筑设计规范》JGJ 67-20</w:t>
      </w:r>
      <w:bookmarkEnd w:id="72"/>
      <w:bookmarkEnd w:id="73"/>
      <w:r>
        <w:rPr>
          <w:rFonts w:hint="eastAsia" w:asciiTheme="minorEastAsia" w:hAnsiTheme="minorEastAsia" w:eastAsiaTheme="minorEastAsia" w:cstheme="minorEastAsia"/>
          <w:color w:val="000000" w:themeColor="text1"/>
          <w:sz w:val="32"/>
          <w:szCs w:val="32"/>
          <w14:textFill>
            <w14:solidFill>
              <w14:schemeClr w14:val="tx1"/>
            </w14:solidFill>
          </w14:textFill>
        </w:rPr>
        <w:t>19</w:t>
      </w:r>
    </w:p>
    <w:p>
      <w:pPr>
        <w:ind w:right="-4" w:rightChars="-2"/>
        <w:rPr>
          <w:rFonts w:asciiTheme="minorEastAsia" w:hAnsiTheme="minorEastAsia" w:eastAsiaTheme="minorEastAsia" w:cstheme="minorEastAsia"/>
          <w:color w:val="000000" w:themeColor="text1"/>
          <w:sz w:val="32"/>
          <w:szCs w:val="32"/>
          <w14:textFill>
            <w14:solidFill>
              <w14:schemeClr w14:val="tx1"/>
            </w14:solidFill>
          </w14:textFill>
        </w:rPr>
      </w:pPr>
      <w:bookmarkStart w:id="74" w:name="_Toc32737"/>
      <w:bookmarkStart w:id="75" w:name="_Toc28314"/>
      <w:r>
        <w:rPr>
          <w:rFonts w:hint="eastAsia" w:asciiTheme="minorEastAsia" w:hAnsiTheme="minorEastAsia" w:eastAsiaTheme="minorEastAsia" w:cstheme="minorEastAsia"/>
          <w:color w:val="000000" w:themeColor="text1"/>
          <w:sz w:val="32"/>
          <w:szCs w:val="32"/>
          <w14:textFill>
            <w14:solidFill>
              <w14:schemeClr w14:val="tx1"/>
            </w14:solidFill>
          </w14:textFill>
        </w:rPr>
        <w:t>3. 《中小学校设计规范》GB50099-2011</w:t>
      </w:r>
      <w:bookmarkEnd w:id="74"/>
      <w:bookmarkEnd w:id="75"/>
    </w:p>
    <w:p>
      <w:pPr>
        <w:ind w:right="-4" w:rightChars="-2"/>
        <w:rPr>
          <w:rFonts w:asciiTheme="minorEastAsia" w:hAnsiTheme="minorEastAsia" w:eastAsiaTheme="minorEastAsia" w:cstheme="minorEastAsia"/>
          <w:color w:val="000000" w:themeColor="text1"/>
          <w:sz w:val="32"/>
          <w:szCs w:val="32"/>
          <w14:textFill>
            <w14:solidFill>
              <w14:schemeClr w14:val="tx1"/>
            </w14:solidFill>
          </w14:textFill>
        </w:rPr>
      </w:pPr>
      <w:bookmarkStart w:id="76" w:name="_Toc6760"/>
      <w:bookmarkStart w:id="77" w:name="_Toc3140"/>
      <w:r>
        <w:rPr>
          <w:rFonts w:hint="eastAsia" w:asciiTheme="minorEastAsia" w:hAnsiTheme="minorEastAsia" w:eastAsiaTheme="minorEastAsia" w:cstheme="minorEastAsia"/>
          <w:color w:val="000000" w:themeColor="text1"/>
          <w:sz w:val="32"/>
          <w:szCs w:val="32"/>
          <w14:textFill>
            <w14:solidFill>
              <w14:schemeClr w14:val="tx1"/>
            </w14:solidFill>
          </w14:textFill>
        </w:rPr>
        <w:t>4. 《城市普通中小学校校舍建设标准》建标(2002)102号</w:t>
      </w:r>
      <w:bookmarkEnd w:id="76"/>
      <w:bookmarkEnd w:id="77"/>
    </w:p>
    <w:p>
      <w:pPr>
        <w:ind w:right="-4" w:rightChars="-2"/>
        <w:rPr>
          <w:rFonts w:asciiTheme="minorEastAsia" w:hAnsiTheme="minorEastAsia" w:eastAsiaTheme="minorEastAsia" w:cstheme="minorEastAsia"/>
          <w:color w:val="000000" w:themeColor="text1"/>
          <w:sz w:val="32"/>
          <w:szCs w:val="32"/>
          <w14:textFill>
            <w14:solidFill>
              <w14:schemeClr w14:val="tx1"/>
            </w14:solidFill>
          </w14:textFill>
        </w:rPr>
      </w:pPr>
      <w:bookmarkStart w:id="78" w:name="_Toc14620"/>
      <w:bookmarkStart w:id="79" w:name="_Toc4711"/>
      <w:r>
        <w:rPr>
          <w:rFonts w:hint="eastAsia" w:asciiTheme="minorEastAsia" w:hAnsiTheme="minorEastAsia" w:eastAsiaTheme="minorEastAsia" w:cstheme="minorEastAsia"/>
          <w:color w:val="000000" w:themeColor="text1"/>
          <w:sz w:val="32"/>
          <w:szCs w:val="32"/>
          <w14:textFill>
            <w14:solidFill>
              <w14:schemeClr w14:val="tx1"/>
            </w14:solidFill>
          </w14:textFill>
        </w:rPr>
        <w:t xml:space="preserve">5. </w:t>
      </w:r>
      <w:bookmarkEnd w:id="78"/>
      <w:bookmarkEnd w:id="79"/>
      <w:r>
        <w:rPr>
          <w:rFonts w:hint="eastAsia" w:asciiTheme="minorEastAsia" w:hAnsiTheme="minorEastAsia" w:eastAsiaTheme="minorEastAsia" w:cstheme="minorEastAsia"/>
          <w:color w:val="000000" w:themeColor="text1"/>
          <w:sz w:val="32"/>
          <w:szCs w:val="32"/>
          <w14:textFill>
            <w14:solidFill>
              <w14:schemeClr w14:val="tx1"/>
            </w14:solidFill>
          </w14:textFill>
        </w:rPr>
        <w:t>《建筑设计防火规范》GB50016-2014（2018年版）</w:t>
      </w:r>
    </w:p>
    <w:p>
      <w:pPr>
        <w:ind w:right="-4" w:rightChars="-2"/>
        <w:rPr>
          <w:rFonts w:asciiTheme="minorEastAsia" w:hAnsiTheme="minorEastAsia" w:eastAsiaTheme="minorEastAsia" w:cstheme="minorEastAsia"/>
          <w:color w:val="000000" w:themeColor="text1"/>
          <w:sz w:val="32"/>
          <w:szCs w:val="32"/>
          <w14:textFill>
            <w14:solidFill>
              <w14:schemeClr w14:val="tx1"/>
            </w14:solidFill>
          </w14:textFill>
        </w:rPr>
      </w:pPr>
      <w:bookmarkStart w:id="80" w:name="_Toc19272"/>
      <w:bookmarkStart w:id="81" w:name="_Toc24215"/>
      <w:r>
        <w:rPr>
          <w:rFonts w:hint="eastAsia" w:asciiTheme="minorEastAsia" w:hAnsiTheme="minorEastAsia" w:eastAsiaTheme="minorEastAsia" w:cstheme="minorEastAsia"/>
          <w:color w:val="000000" w:themeColor="text1"/>
          <w:sz w:val="32"/>
          <w:szCs w:val="32"/>
          <w14:textFill>
            <w14:solidFill>
              <w14:schemeClr w14:val="tx1"/>
            </w14:solidFill>
          </w14:textFill>
        </w:rPr>
        <w:t xml:space="preserve">6. </w:t>
      </w:r>
      <w:bookmarkEnd w:id="80"/>
      <w:bookmarkEnd w:id="81"/>
      <w:r>
        <w:rPr>
          <w:rFonts w:hint="eastAsia" w:asciiTheme="minorEastAsia" w:hAnsiTheme="minorEastAsia" w:eastAsiaTheme="minorEastAsia" w:cstheme="minorEastAsia"/>
          <w:color w:val="000000" w:themeColor="text1"/>
          <w:sz w:val="32"/>
          <w:szCs w:val="32"/>
          <w14:textFill>
            <w14:solidFill>
              <w14:schemeClr w14:val="tx1"/>
            </w14:solidFill>
          </w14:textFill>
        </w:rPr>
        <w:t>《汽车库、修车库、停车场设计防火规范》GB50067-2014</w:t>
      </w:r>
    </w:p>
    <w:p>
      <w:pPr>
        <w:ind w:right="-4" w:rightChars="-2"/>
        <w:rPr>
          <w:rFonts w:asciiTheme="minorEastAsia" w:hAnsiTheme="minorEastAsia" w:eastAsiaTheme="minorEastAsia" w:cstheme="minorEastAsia"/>
          <w:color w:val="000000" w:themeColor="text1"/>
          <w:sz w:val="32"/>
          <w:szCs w:val="32"/>
          <w14:textFill>
            <w14:solidFill>
              <w14:schemeClr w14:val="tx1"/>
            </w14:solidFill>
          </w14:textFill>
        </w:rPr>
      </w:pPr>
      <w:bookmarkStart w:id="82" w:name="_Toc17424"/>
      <w:bookmarkStart w:id="83" w:name="_Toc17593"/>
      <w:r>
        <w:rPr>
          <w:rFonts w:hint="eastAsia" w:asciiTheme="minorEastAsia" w:hAnsiTheme="minorEastAsia" w:eastAsiaTheme="minorEastAsia" w:cstheme="minorEastAsia"/>
          <w:color w:val="000000" w:themeColor="text1"/>
          <w:sz w:val="32"/>
          <w:szCs w:val="32"/>
          <w14:textFill>
            <w14:solidFill>
              <w14:schemeClr w14:val="tx1"/>
            </w14:solidFill>
          </w14:textFill>
        </w:rPr>
        <w:t xml:space="preserve">7. </w:t>
      </w:r>
      <w:bookmarkEnd w:id="82"/>
      <w:bookmarkEnd w:id="83"/>
      <w:r>
        <w:rPr>
          <w:rFonts w:hint="eastAsia" w:asciiTheme="minorEastAsia" w:hAnsiTheme="minorEastAsia" w:eastAsiaTheme="minorEastAsia" w:cstheme="minorEastAsia"/>
          <w:color w:val="000000" w:themeColor="text1"/>
          <w:sz w:val="32"/>
          <w:szCs w:val="32"/>
          <w14:textFill>
            <w14:solidFill>
              <w14:schemeClr w14:val="tx1"/>
            </w14:solidFill>
          </w14:textFill>
        </w:rPr>
        <w:t>《无障碍设计规范》GB50763-2012</w:t>
      </w:r>
    </w:p>
    <w:p>
      <w:pPr>
        <w:ind w:right="-4" w:rightChars="-2"/>
        <w:rPr>
          <w:rFonts w:asciiTheme="minorEastAsia" w:hAnsiTheme="minorEastAsia" w:eastAsiaTheme="minorEastAsia" w:cstheme="minorEastAsia"/>
          <w:color w:val="000000" w:themeColor="text1"/>
          <w:sz w:val="32"/>
          <w:szCs w:val="32"/>
          <w14:textFill>
            <w14:solidFill>
              <w14:schemeClr w14:val="tx1"/>
            </w14:solidFill>
          </w14:textFill>
        </w:rPr>
      </w:pPr>
      <w:bookmarkStart w:id="84" w:name="_Toc6741"/>
      <w:bookmarkStart w:id="85" w:name="_Toc16853"/>
      <w:r>
        <w:rPr>
          <w:rFonts w:hint="eastAsia" w:asciiTheme="minorEastAsia" w:hAnsiTheme="minorEastAsia" w:eastAsiaTheme="minorEastAsia" w:cstheme="minorEastAsia"/>
          <w:color w:val="000000" w:themeColor="text1"/>
          <w:sz w:val="32"/>
          <w:szCs w:val="32"/>
          <w14:textFill>
            <w14:solidFill>
              <w14:schemeClr w14:val="tx1"/>
            </w14:solidFill>
          </w14:textFill>
        </w:rPr>
        <w:t>8. 《大理</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州</w:t>
      </w:r>
      <w:r>
        <w:rPr>
          <w:rFonts w:hint="eastAsia" w:asciiTheme="minorEastAsia" w:hAnsiTheme="minorEastAsia" w:eastAsiaTheme="minorEastAsia" w:cstheme="minorEastAsia"/>
          <w:color w:val="000000" w:themeColor="text1"/>
          <w:sz w:val="32"/>
          <w:szCs w:val="32"/>
          <w14:textFill>
            <w14:solidFill>
              <w14:schemeClr w14:val="tx1"/>
            </w14:solidFill>
          </w14:textFill>
        </w:rPr>
        <w:t>城市</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建设项目</w:t>
      </w:r>
      <w:r>
        <w:rPr>
          <w:rFonts w:hint="eastAsia" w:asciiTheme="minorEastAsia" w:hAnsiTheme="minorEastAsia" w:eastAsiaTheme="minorEastAsia" w:cstheme="minorEastAsia"/>
          <w:color w:val="000000" w:themeColor="text1"/>
          <w:sz w:val="32"/>
          <w:szCs w:val="32"/>
          <w14:textFill>
            <w14:solidFill>
              <w14:schemeClr w14:val="tx1"/>
            </w14:solidFill>
          </w14:textFill>
        </w:rPr>
        <w:t>规划管理技术规定》</w:t>
      </w:r>
      <w:bookmarkEnd w:id="84"/>
      <w:bookmarkEnd w:id="85"/>
    </w:p>
    <w:p>
      <w:pPr>
        <w:ind w:right="-4" w:rightChars="-2"/>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9. 《云南省山地城镇建筑设计导则》</w:t>
      </w:r>
    </w:p>
    <w:p>
      <w:pPr>
        <w:ind w:right="-4" w:rightChars="-2"/>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10. 国家及地方有关规范、政策、法规、条例。</w:t>
      </w:r>
    </w:p>
    <w:p>
      <w:pPr>
        <w:pStyle w:val="3"/>
        <w:rPr>
          <w:color w:val="000000" w:themeColor="text1"/>
          <w14:textFill>
            <w14:solidFill>
              <w14:schemeClr w14:val="tx1"/>
            </w14:solidFill>
          </w14:textFill>
        </w:rPr>
      </w:pPr>
      <w:bookmarkStart w:id="86" w:name="_Toc7088"/>
      <w:r>
        <w:rPr>
          <w:rFonts w:hint="eastAsia"/>
          <w:color w:val="000000" w:themeColor="text1"/>
          <w14:textFill>
            <w14:solidFill>
              <w14:schemeClr w14:val="tx1"/>
            </w14:solidFill>
          </w14:textFill>
        </w:rPr>
        <w:t>6.2 上部建筑</w:t>
      </w:r>
      <w:bookmarkEnd w:id="71"/>
      <w:bookmarkEnd w:id="86"/>
    </w:p>
    <w:p>
      <w:pPr>
        <w:ind w:right="-4" w:rightChars="-2"/>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6.2.1工程概况</w:t>
      </w:r>
    </w:p>
    <w:p>
      <w:pPr>
        <w:widowControl/>
        <w:ind w:firstLine="640" w:firstLineChars="200"/>
        <w:jc w:val="left"/>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1)本工程位于</w:t>
      </w:r>
      <w:r>
        <w:rPr>
          <w:rFonts w:hint="eastAsia" w:asciiTheme="minorEastAsia" w:hAnsiTheme="minorEastAsia" w:eastAsiaTheme="minorEastAsia" w:cstheme="minorEastAsia"/>
          <w:caps/>
          <w:color w:val="000000" w:themeColor="text1"/>
          <w:sz w:val="32"/>
          <w:szCs w:val="22"/>
          <w:lang w:val="en-US" w:eastAsia="zh-CN"/>
          <w14:textFill>
            <w14:solidFill>
              <w14:schemeClr w14:val="tx1"/>
            </w14:solidFill>
          </w14:textFill>
        </w:rPr>
        <w:t>弥城中学西南方向，原粮食局和烟草公司用地。</w:t>
      </w:r>
      <w:r>
        <w:rPr>
          <w:rFonts w:hint="eastAsia" w:ascii="宋体" w:hAnsi="宋体" w:eastAsiaTheme="minorEastAsia"/>
          <w:color w:val="000000" w:themeColor="text1"/>
          <w:sz w:val="32"/>
          <w:szCs w:val="32"/>
          <w:lang w:val="en-US" w:eastAsia="zh-CN"/>
          <w14:textFill>
            <w14:solidFill>
              <w14:schemeClr w14:val="tx1"/>
            </w14:solidFill>
          </w14:textFill>
        </w:rPr>
        <w:t>新建体育馆</w:t>
      </w:r>
      <w:r>
        <w:rPr>
          <w:rFonts w:hint="eastAsia" w:ascii="宋体" w:hAnsi="宋体"/>
          <w:color w:val="000000" w:themeColor="text1"/>
          <w:sz w:val="32"/>
          <w:szCs w:val="32"/>
          <w14:textFill>
            <w14:solidFill>
              <w14:schemeClr w14:val="tx1"/>
            </w14:solidFill>
          </w14:textFill>
        </w:rPr>
        <w:t>采用钢结构，其余建筑均采用现浇混凝土框架结构。</w:t>
      </w:r>
    </w:p>
    <w:p>
      <w:pPr>
        <w:spacing w:line="600" w:lineRule="exact"/>
        <w:ind w:firstLine="640" w:firstLineChars="200"/>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2）本建筑结构安全等级为二级，抗震设防烈度8度（设计基本地震加速度值为 0.20g，第三组）。</w:t>
      </w:r>
    </w:p>
    <w:p>
      <w:pPr>
        <w:ind w:right="-4" w:rightChars="-2"/>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6.2.2 建筑依山就势，利用原有地貌，尽量契合山地的起伏变化，尊重原有地形地貌和自然环境，使建筑融入环境中。</w:t>
      </w:r>
    </w:p>
    <w:p>
      <w:pPr>
        <w:ind w:right="-4" w:rightChars="-2"/>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建设内容：</w:t>
      </w:r>
    </w:p>
    <w:p>
      <w:pPr>
        <w:numPr>
          <w:ilvl w:val="0"/>
          <w:numId w:val="2"/>
        </w:numPr>
        <w:ind w:right="-4" w:rightChars="-2" w:firstLine="96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教学楼</w:t>
      </w:r>
    </w:p>
    <w:p>
      <w:pPr>
        <w:numPr>
          <w:ilvl w:val="0"/>
          <w:numId w:val="0"/>
        </w:numPr>
        <w:ind w:left="420" w:leftChars="0" w:right="-4" w:rightChars="-2"/>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教学楼一至四层均为普通教室。</w:t>
      </w:r>
    </w:p>
    <w:p>
      <w:pPr>
        <w:numPr>
          <w:ilvl w:val="0"/>
          <w:numId w:val="2"/>
        </w:numPr>
        <w:ind w:right="-4" w:rightChars="-2" w:firstLine="96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综合楼</w:t>
      </w:r>
    </w:p>
    <w:p>
      <w:pPr>
        <w:ind w:right="-4" w:rightChars="-2" w:firstLine="640" w:firstLineChars="200"/>
        <w:rPr>
          <w:rFonts w:hint="default" w:asciiTheme="minorEastAsia" w:hAnsiTheme="minorEastAsia" w:eastAsiaTheme="minorEastAsia" w:cstheme="minorEastAsia"/>
          <w:color w:val="000000" w:themeColor="text1"/>
          <w:sz w:val="32"/>
          <w:szCs w:val="32"/>
          <w:lang w:val="en-US"/>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综合楼一至四层均为教学用房。</w:t>
      </w:r>
    </w:p>
    <w:p>
      <w:pPr>
        <w:numPr>
          <w:ilvl w:val="0"/>
          <w:numId w:val="2"/>
        </w:numPr>
        <w:ind w:right="-4" w:rightChars="-2" w:firstLine="96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体育馆</w:t>
      </w:r>
    </w:p>
    <w:p>
      <w:pPr>
        <w:numPr>
          <w:ilvl w:val="0"/>
          <w:numId w:val="0"/>
        </w:numPr>
        <w:ind w:left="420" w:leftChars="0" w:right="-4" w:rightChars="-2" w:firstLine="320" w:firstLineChars="100"/>
        <w:rPr>
          <w:rFonts w:hint="default" w:asciiTheme="minorEastAsia" w:hAnsiTheme="minorEastAsia" w:eastAsiaTheme="minorEastAsia" w:cstheme="minorEastAsia"/>
          <w:color w:val="000000" w:themeColor="text1"/>
          <w:sz w:val="32"/>
          <w:szCs w:val="32"/>
          <w:lang w:val="en-US"/>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体育馆负一层为运动区、一层为篮球场和1700人报告厅。</w:t>
      </w:r>
    </w:p>
    <w:p>
      <w:pPr>
        <w:numPr>
          <w:ilvl w:val="0"/>
          <w:numId w:val="2"/>
        </w:numPr>
        <w:ind w:right="-4" w:rightChars="-2" w:firstLine="96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学生食堂</w:t>
      </w:r>
    </w:p>
    <w:p>
      <w:pPr>
        <w:ind w:right="-4" w:rightChars="-2"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学生食堂一至四层均为学生餐厅。</w:t>
      </w:r>
    </w:p>
    <w:p>
      <w:pPr>
        <w:ind w:left="420" w:right="-4" w:rightChars="-2"/>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32"/>
          <w:szCs w:val="32"/>
          <w14:textFill>
            <w14:solidFill>
              <w14:schemeClr w14:val="tx1"/>
            </w14:solidFill>
          </w14:textFill>
        </w:rPr>
        <w:t>00米跑道足球场一个，标准篮球场</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32"/>
          <w:szCs w:val="32"/>
          <w14:textFill>
            <w14:solidFill>
              <w14:schemeClr w14:val="tx1"/>
            </w14:solidFill>
          </w14:textFill>
        </w:rPr>
        <w:t>块</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250米跑道1条</w:t>
      </w:r>
      <w:r>
        <w:rPr>
          <w:rFonts w:hint="eastAsia" w:asciiTheme="minorEastAsia" w:hAnsiTheme="minorEastAsia" w:eastAsiaTheme="minorEastAsia" w:cstheme="minorEastAsia"/>
          <w:color w:val="000000" w:themeColor="text1"/>
          <w:sz w:val="32"/>
          <w:szCs w:val="32"/>
          <w14:textFill>
            <w14:solidFill>
              <w14:schemeClr w14:val="tx1"/>
            </w14:solidFill>
          </w14:textFill>
        </w:rPr>
        <w:t>和附属工程。</w:t>
      </w:r>
    </w:p>
    <w:p>
      <w:pPr>
        <w:ind w:right="-4" w:rightChars="-2"/>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6.2.3建筑立面</w:t>
      </w:r>
    </w:p>
    <w:p>
      <w:pPr>
        <w:ind w:right="-4" w:rightChars="-2"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立面的设计构思，</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采用虚实结合的手法，</w:t>
      </w:r>
      <w:r>
        <w:rPr>
          <w:rFonts w:hint="eastAsia" w:asciiTheme="minorEastAsia" w:hAnsiTheme="minorEastAsia" w:eastAsiaTheme="minorEastAsia" w:cstheme="minorEastAsia"/>
          <w:color w:val="000000" w:themeColor="text1"/>
          <w:sz w:val="32"/>
          <w:szCs w:val="32"/>
          <w14:textFill>
            <w14:solidFill>
              <w14:schemeClr w14:val="tx1"/>
            </w14:solidFill>
          </w14:textFill>
        </w:rPr>
        <w:t>提取了传统建筑和现代建筑和而不同的因素，融入了山地建筑的特殊性，其造型不仅属于建筑本身，还属于整个山地环境。让建筑融入景色，景色人融于建筑。充分体现人与自然的亲和关系，同时也达到建筑和环境间的和谐对话。</w:t>
      </w:r>
    </w:p>
    <w:p>
      <w:pPr>
        <w:ind w:right="-4" w:rightChars="-2"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在外立面材质上，以现代的施工技术和材料技术结合传统建筑元素：灰瓦、石墙等组成富有层次韵律的建筑外观，从细小之处提升环境和建筑的层次。</w:t>
      </w:r>
    </w:p>
    <w:p>
      <w:pPr>
        <w:ind w:right="-4" w:rightChars="-2" w:firstLine="640" w:firstLineChars="200"/>
        <w:rPr>
          <w:rFonts w:asciiTheme="minorEastAsia" w:hAnsiTheme="minorEastAsia" w:eastAsiaTheme="minorEastAsia" w:cstheme="minorEastAsia"/>
          <w:color w:val="000000" w:themeColor="text1"/>
          <w:sz w:val="32"/>
          <w:szCs w:val="32"/>
          <w:highlight w:val="yellow"/>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6.2.3 建筑剖面</w:t>
      </w:r>
    </w:p>
    <w:p>
      <w:pPr>
        <w:ind w:right="-4" w:rightChars="-2"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建筑均根据实际台地放置，室内外高差和层高均满足规范要求。</w:t>
      </w:r>
    </w:p>
    <w:p>
      <w:pPr>
        <w:ind w:right="-4" w:rightChars="-2"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6.2.4 建筑消防</w:t>
      </w:r>
    </w:p>
    <w:p>
      <w:pPr>
        <w:ind w:right="-4" w:rightChars="-2" w:firstLine="640" w:firstLineChars="200"/>
        <w:rPr>
          <w:rFonts w:asciiTheme="minorEastAsia" w:hAnsiTheme="minorEastAsia" w:eastAsiaTheme="minorEastAsia" w:cstheme="minorEastAsia"/>
          <w:color w:val="000000" w:themeColor="text1"/>
          <w:sz w:val="32"/>
          <w:szCs w:val="32"/>
          <w:highlight w:val="yellow"/>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各栋建筑间距均满足防火间距要求。建筑内部疏散楼梯、疏散通道和疏散门等都满足要求。</w:t>
      </w:r>
    </w:p>
    <w:p>
      <w:pPr>
        <w:ind w:right="-4" w:rightChars="-2"/>
        <w:outlineLvl w:val="1"/>
        <w:rPr>
          <w:rStyle w:val="39"/>
          <w:color w:val="000000" w:themeColor="text1"/>
          <w14:textFill>
            <w14:solidFill>
              <w14:schemeClr w14:val="tx1"/>
            </w14:solidFill>
          </w14:textFill>
        </w:rPr>
      </w:pPr>
      <w:bookmarkStart w:id="87" w:name="_Toc19724"/>
      <w:bookmarkStart w:id="88" w:name="_Toc25230_WPSOffice_Level2"/>
      <w:r>
        <w:rPr>
          <w:rStyle w:val="39"/>
          <w:rFonts w:hint="eastAsia"/>
          <w:color w:val="000000" w:themeColor="text1"/>
          <w14:textFill>
            <w14:solidFill>
              <w14:schemeClr w14:val="tx1"/>
            </w14:solidFill>
          </w14:textFill>
        </w:rPr>
        <w:t>6.3 建筑风貌</w:t>
      </w:r>
      <w:bookmarkEnd w:id="87"/>
      <w:bookmarkEnd w:id="88"/>
    </w:p>
    <w:p>
      <w:pPr>
        <w:ind w:right="-4" w:rightChars="-2"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立面设计的原则为人文、原生态，在设计中，挖掘本项目用地所在的区域的历史、民族特性，正视传统文化，提炼出现代自然风格。利用地形与建筑形态将项目所在地的历史文脉与审美情趣在空间形态的组合上表达出来。</w:t>
      </w:r>
    </w:p>
    <w:p>
      <w:pPr>
        <w:ind w:right="-4" w:rightChars="-2"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原生态的主题通过建筑外立面以及建筑的组合形式，将当地沉淀下来的建筑形态的精髓通过现代的工艺展现，同时与现代的生活理念相结合，   提炼出一种符合当地传统人文并加以升华的生活方式。</w:t>
      </w:r>
    </w:p>
    <w:p>
      <w:pPr>
        <w:ind w:right="-4" w:rightChars="-2"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平面设计体现人性化，尽量做到功能分区明确。</w:t>
      </w:r>
    </w:p>
    <w:p>
      <w:pPr>
        <w:ind w:right="-4" w:rightChars="-2"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外立面主要采用木材、文化石、玻璃等材料。</w:t>
      </w:r>
      <w:bookmarkStart w:id="89" w:name="_Toc483328226"/>
      <w:bookmarkStart w:id="90" w:name="_Toc483328662"/>
      <w:bookmarkStart w:id="91" w:name="_Toc4851_WPSOffice_Level1"/>
    </w:p>
    <w:p>
      <w:pPr>
        <w:pStyle w:val="2"/>
        <w:jc w:val="cente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2"/>
        <w:jc w:val="center"/>
        <w:rPr>
          <w:color w:val="000000" w:themeColor="text1"/>
          <w14:textFill>
            <w14:solidFill>
              <w14:schemeClr w14:val="tx1"/>
            </w14:solidFill>
          </w14:textFill>
        </w:rPr>
      </w:pPr>
      <w:bookmarkStart w:id="92" w:name="_Toc4834"/>
      <w:r>
        <w:rPr>
          <w:rFonts w:hint="eastAsia"/>
          <w:color w:val="000000" w:themeColor="text1"/>
          <w14:textFill>
            <w14:solidFill>
              <w14:schemeClr w14:val="tx1"/>
            </w14:solidFill>
          </w14:textFill>
        </w:rPr>
        <w:t>第七章  结构设计</w:t>
      </w:r>
      <w:bookmarkEnd w:id="92"/>
    </w:p>
    <w:p>
      <w:pPr>
        <w:ind w:right="-4" w:rightChars="-2"/>
        <w:outlineLvl w:val="1"/>
        <w:rPr>
          <w:rStyle w:val="39"/>
          <w:color w:val="000000" w:themeColor="text1"/>
          <w14:textFill>
            <w14:solidFill>
              <w14:schemeClr w14:val="tx1"/>
            </w14:solidFill>
          </w14:textFill>
        </w:rPr>
      </w:pPr>
      <w:bookmarkStart w:id="93" w:name="_Toc28816"/>
      <w:r>
        <w:rPr>
          <w:rStyle w:val="39"/>
          <w:rFonts w:hint="eastAsia"/>
          <w:color w:val="000000" w:themeColor="text1"/>
          <w14:textFill>
            <w14:solidFill>
              <w14:schemeClr w14:val="tx1"/>
            </w14:solidFill>
          </w14:textFill>
        </w:rPr>
        <w:t>7.</w:t>
      </w:r>
      <w:r>
        <w:rPr>
          <w:rStyle w:val="39"/>
          <w:color w:val="000000" w:themeColor="text1"/>
          <w14:textFill>
            <w14:solidFill>
              <w14:schemeClr w14:val="tx1"/>
            </w14:solidFill>
          </w14:textFill>
        </w:rPr>
        <w:t>1</w:t>
      </w:r>
      <w:r>
        <w:rPr>
          <w:rStyle w:val="39"/>
          <w:rFonts w:hint="eastAsia"/>
          <w:color w:val="000000" w:themeColor="text1"/>
          <w14:textFill>
            <w14:solidFill>
              <w14:schemeClr w14:val="tx1"/>
            </w14:solidFill>
          </w14:textFill>
        </w:rPr>
        <w:t xml:space="preserve"> 工程概况</w:t>
      </w:r>
      <w:bookmarkEnd w:id="93"/>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本项目位于</w:t>
      </w:r>
      <w:r>
        <w:rPr>
          <w:rFonts w:hint="eastAsia" w:asciiTheme="minorEastAsia" w:hAnsiTheme="minorEastAsia" w:eastAsiaTheme="minorEastAsia" w:cstheme="minorEastAsia"/>
          <w:caps/>
          <w:color w:val="000000" w:themeColor="text1"/>
          <w:sz w:val="32"/>
          <w:szCs w:val="22"/>
          <w:lang w:val="en-US" w:eastAsia="zh-CN"/>
          <w14:textFill>
            <w14:solidFill>
              <w14:schemeClr w14:val="tx1"/>
            </w14:solidFill>
          </w14:textFill>
        </w:rPr>
        <w:t>弥城中学西南方向，原粮食局和烟草公司用地。</w:t>
      </w:r>
      <w:r>
        <w:rPr>
          <w:rFonts w:hint="eastAsia" w:asciiTheme="minorEastAsia" w:hAnsiTheme="minorEastAsia" w:eastAsiaTheme="minorEastAsia" w:cstheme="minorEastAsia"/>
          <w:color w:val="000000" w:themeColor="text1"/>
          <w:sz w:val="32"/>
          <w:szCs w:val="32"/>
          <w14:textFill>
            <w14:solidFill>
              <w14:schemeClr w14:val="tx1"/>
            </w14:solidFill>
          </w14:textFill>
        </w:rPr>
        <w:t>用地面积为</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31147.66</w:t>
      </w:r>
      <w:r>
        <w:rPr>
          <w:rFonts w:hint="eastAsia" w:asciiTheme="minorEastAsia" w:hAnsiTheme="minorEastAsia" w:eastAsiaTheme="minorEastAsia" w:cstheme="minorEastAsia"/>
          <w:color w:val="000000" w:themeColor="text1"/>
          <w:sz w:val="32"/>
          <w:szCs w:val="32"/>
          <w14:textFill>
            <w14:solidFill>
              <w14:schemeClr w14:val="tx1"/>
            </w14:solidFill>
          </w14:textFill>
        </w:rPr>
        <w:t>㎡（</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46.72</w:t>
      </w:r>
      <w:r>
        <w:rPr>
          <w:rFonts w:hint="eastAsia" w:asciiTheme="minorEastAsia" w:hAnsiTheme="minorEastAsia" w:eastAsiaTheme="minorEastAsia" w:cstheme="minorEastAsia"/>
          <w:color w:val="000000" w:themeColor="text1"/>
          <w:sz w:val="32"/>
          <w:szCs w:val="32"/>
          <w14:textFill>
            <w14:solidFill>
              <w14:schemeClr w14:val="tx1"/>
            </w14:solidFill>
          </w14:textFill>
        </w:rPr>
        <w:t>亩），总建筑面积为</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18550</w:t>
      </w:r>
      <w:r>
        <w:rPr>
          <w:rFonts w:hint="eastAsia" w:asciiTheme="minorEastAsia" w:hAnsiTheme="minorEastAsia" w:eastAsiaTheme="minorEastAsia" w:cstheme="minorEastAsia"/>
          <w:color w:val="000000" w:themeColor="text1"/>
          <w:sz w:val="32"/>
          <w:szCs w:val="32"/>
          <w14:textFill>
            <w14:solidFill>
              <w14:schemeClr w14:val="tx1"/>
            </w14:solidFill>
          </w14:textFill>
        </w:rPr>
        <w:t>㎡。本工程结构设计充分考虑了当地建筑的特点，结合地形、地貌和地质条件，与建筑、设备、施工和地方材料条件紧密配合，遵循安全适用、经济合理、技术先进的设计原则，力争创作出结构新、速度快、效益好的结构体系。</w:t>
      </w:r>
    </w:p>
    <w:p>
      <w:pPr>
        <w:ind w:right="-4" w:rightChars="-2"/>
        <w:outlineLvl w:val="1"/>
        <w:rPr>
          <w:rStyle w:val="39"/>
          <w:color w:val="000000" w:themeColor="text1"/>
          <w14:textFill>
            <w14:solidFill>
              <w14:schemeClr w14:val="tx1"/>
            </w14:solidFill>
          </w14:textFill>
        </w:rPr>
      </w:pPr>
      <w:bookmarkStart w:id="94" w:name="_Toc21284"/>
      <w:r>
        <w:rPr>
          <w:rStyle w:val="39"/>
          <w:rFonts w:hint="eastAsia"/>
          <w:color w:val="000000" w:themeColor="text1"/>
          <w14:textFill>
            <w14:solidFill>
              <w14:schemeClr w14:val="tx1"/>
            </w14:solidFill>
          </w14:textFill>
        </w:rPr>
        <w:t>7.</w:t>
      </w:r>
      <w:r>
        <w:rPr>
          <w:rStyle w:val="39"/>
          <w:color w:val="000000" w:themeColor="text1"/>
          <w14:textFill>
            <w14:solidFill>
              <w14:schemeClr w14:val="tx1"/>
            </w14:solidFill>
          </w14:textFill>
        </w:rPr>
        <w:t>2</w:t>
      </w:r>
      <w:r>
        <w:rPr>
          <w:rStyle w:val="39"/>
          <w:rFonts w:hint="eastAsia"/>
          <w:color w:val="000000" w:themeColor="text1"/>
          <w14:textFill>
            <w14:solidFill>
              <w14:schemeClr w14:val="tx1"/>
            </w14:solidFill>
          </w14:textFill>
        </w:rPr>
        <w:t xml:space="preserve"> 设计依据</w:t>
      </w:r>
      <w:bookmarkEnd w:id="94"/>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2.1.建筑专业提供的方案条件</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2.2.国内现行设计规范及规程</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《建筑结构可靠性设计统一标准》       GB 50068-2018</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《建筑抗震设防分类标准》             GB 50223-2008</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《建筑结构荷载规范》                 GB 50009-2012</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《建筑地基基础设计规范》             GB 50007-2011</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《混凝土结构设计规范》               GB 50010-2010（2015版）</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《建筑抗震设计规范》                 GB 50011-2010（2016版）</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《高层建筑混凝土结构技术规程》       JGJ 3-2010</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《建筑桩基技术规范》                 JGJ94-2008</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《砌体结构设计规范》                 GB50003-2011</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《混凝土结构耐久性设计规范》         GB/T50476-2019</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《墙体材料应用统一技术规范》         GB 50574-2010</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2.3.设计中采用的主要活荷载标准值</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根据本工程的功能要求，除下面所列的活荷载取值外，其余按国家规范《建筑结构荷载规范》（GB50009-2012）</w:t>
      </w:r>
      <w:r>
        <w:rPr>
          <w:rFonts w:asciiTheme="minorEastAsia" w:hAnsiTheme="minorEastAsia" w:eastAsiaTheme="minorEastAsia" w:cstheme="minorEastAsia"/>
          <w:color w:val="000000" w:themeColor="text1"/>
          <w:sz w:val="32"/>
          <w:szCs w:val="32"/>
          <w14:textFill>
            <w14:solidFill>
              <w14:schemeClr w14:val="tx1"/>
            </w14:solidFill>
          </w14:textFill>
        </w:rPr>
        <w:t>取值</w:t>
      </w:r>
      <w:r>
        <w:rPr>
          <w:rFonts w:hint="eastAsia" w:asciiTheme="minorEastAsia" w:hAnsiTheme="minorEastAsia" w:eastAsiaTheme="minorEastAsia" w:cstheme="minorEastAsia"/>
          <w:color w:val="000000" w:themeColor="text1"/>
          <w:sz w:val="32"/>
          <w:szCs w:val="32"/>
          <w14:textFill>
            <w14:solidFill>
              <w14:schemeClr w14:val="tx1"/>
            </w14:solidFill>
          </w14:textFill>
        </w:rPr>
        <w:t>。</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办 公：                    2.0KN/m2</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卫生间：                   2.5KN/m2</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阳 台：                    2.5KN/m2</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走 道：                    2.5KN/m2</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疏散楼梯：                 3.5KN/m2</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露  台：                   2.5KN/m2</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公共卫生间：               3.5KN/m2</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教室：                     2.5KN/m2</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餐厅：                     4.0KN/m2</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展览厅：                   3.5KN/m2</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设备用房：                 7.0KN/m2</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上人屋面：                 2.0KN/m2</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不上人屋面：               0.5KN/m2</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2.4风荷载</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基本风压：         0.65KN/m2 （建筑高度大于60m时，承载力计算基本风压放大1.1倍）</w:t>
      </w:r>
      <w:r>
        <w:rPr>
          <w:rFonts w:asciiTheme="minorEastAsia" w:hAnsiTheme="minorEastAsia" w:eastAsiaTheme="minorEastAsia" w:cstheme="minorEastAsia"/>
          <w:color w:val="000000" w:themeColor="text1"/>
          <w:sz w:val="32"/>
          <w:szCs w:val="32"/>
          <w14:textFill>
            <w14:solidFill>
              <w14:schemeClr w14:val="tx1"/>
            </w14:solidFill>
          </w14:textFill>
        </w:rPr>
        <w:t>（50年重现期的风压值）</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asciiTheme="minorEastAsia" w:hAnsiTheme="minorEastAsia" w:eastAsiaTheme="minorEastAsia" w:cstheme="minorEastAsia"/>
          <w:color w:val="000000" w:themeColor="text1"/>
          <w:sz w:val="32"/>
          <w:szCs w:val="32"/>
          <w14:textFill>
            <w14:solidFill>
              <w14:schemeClr w14:val="tx1"/>
            </w14:solidFill>
          </w14:textFill>
        </w:rPr>
        <w:t>地面粗糙度类别：</w:t>
      </w:r>
      <w:r>
        <w:rPr>
          <w:rFonts w:hint="eastAsia" w:asciiTheme="minorEastAsia" w:hAnsiTheme="minorEastAsia" w:eastAsiaTheme="minorEastAsia" w:cstheme="minorEastAsia"/>
          <w:color w:val="000000" w:themeColor="text1"/>
          <w:sz w:val="32"/>
          <w:szCs w:val="32"/>
          <w14:textFill>
            <w14:solidFill>
              <w14:schemeClr w14:val="tx1"/>
            </w14:solidFill>
          </w14:textFill>
        </w:rPr>
        <w:t xml:space="preserve">    </w:t>
      </w:r>
      <w:r>
        <w:rPr>
          <w:rFonts w:asciiTheme="minorEastAsia" w:hAnsiTheme="minorEastAsia" w:eastAsiaTheme="minorEastAsia" w:cstheme="minorEastAsia"/>
          <w:color w:val="000000" w:themeColor="text1"/>
          <w:sz w:val="32"/>
          <w:szCs w:val="32"/>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B</w:t>
      </w:r>
      <w:r>
        <w:rPr>
          <w:rFonts w:asciiTheme="minorEastAsia" w:hAnsiTheme="minorEastAsia" w:eastAsiaTheme="minorEastAsia" w:cstheme="minorEastAsia"/>
          <w:color w:val="000000" w:themeColor="text1"/>
          <w:sz w:val="32"/>
          <w:szCs w:val="32"/>
          <w14:textFill>
            <w14:solidFill>
              <w14:schemeClr w14:val="tx1"/>
            </w14:solidFill>
          </w14:textFill>
        </w:rPr>
        <w:t>类</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asciiTheme="minorEastAsia" w:hAnsiTheme="minorEastAsia" w:eastAsiaTheme="minorEastAsia" w:cstheme="minorEastAsia"/>
          <w:color w:val="000000" w:themeColor="text1"/>
          <w:sz w:val="32"/>
          <w:szCs w:val="32"/>
          <w14:textFill>
            <w14:solidFill>
              <w14:schemeClr w14:val="tx1"/>
            </w14:solidFill>
          </w14:textFill>
        </w:rPr>
        <w:t>风荷载体型系数：</w:t>
      </w:r>
      <w:r>
        <w:rPr>
          <w:rFonts w:hint="eastAsia" w:asciiTheme="minorEastAsia" w:hAnsiTheme="minorEastAsia" w:eastAsiaTheme="minorEastAsia" w:cstheme="minorEastAsia"/>
          <w:color w:val="000000" w:themeColor="text1"/>
          <w:sz w:val="32"/>
          <w:szCs w:val="32"/>
          <w14:textFill>
            <w14:solidFill>
              <w14:schemeClr w14:val="tx1"/>
            </w14:solidFill>
          </w14:textFill>
        </w:rPr>
        <w:t xml:space="preserve">    </w:t>
      </w:r>
      <w:r>
        <w:rPr>
          <w:rFonts w:asciiTheme="minorEastAsia" w:hAnsiTheme="minorEastAsia" w:eastAsiaTheme="minorEastAsia" w:cstheme="minorEastAsia"/>
          <w:color w:val="000000" w:themeColor="text1"/>
          <w:sz w:val="32"/>
          <w:szCs w:val="32"/>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1.3</w:t>
      </w:r>
    </w:p>
    <w:p>
      <w:pPr>
        <w:ind w:right="-4" w:rightChars="-2"/>
        <w:outlineLvl w:val="1"/>
        <w:rPr>
          <w:rStyle w:val="39"/>
          <w:color w:val="000000" w:themeColor="text1"/>
          <w14:textFill>
            <w14:solidFill>
              <w14:schemeClr w14:val="tx1"/>
            </w14:solidFill>
          </w14:textFill>
        </w:rPr>
      </w:pPr>
      <w:bookmarkStart w:id="95" w:name="_Toc23806"/>
      <w:r>
        <w:rPr>
          <w:rStyle w:val="39"/>
          <w:rFonts w:hint="eastAsia"/>
          <w:color w:val="000000" w:themeColor="text1"/>
          <w14:textFill>
            <w14:solidFill>
              <w14:schemeClr w14:val="tx1"/>
            </w14:solidFill>
          </w14:textFill>
        </w:rPr>
        <w:t>7.</w:t>
      </w:r>
      <w:r>
        <w:rPr>
          <w:rStyle w:val="39"/>
          <w:color w:val="000000" w:themeColor="text1"/>
          <w14:textFill>
            <w14:solidFill>
              <w14:schemeClr w14:val="tx1"/>
            </w14:solidFill>
          </w14:textFill>
        </w:rPr>
        <w:t>3</w:t>
      </w:r>
      <w:r>
        <w:rPr>
          <w:rStyle w:val="39"/>
          <w:rFonts w:hint="eastAsia"/>
          <w:color w:val="000000" w:themeColor="text1"/>
          <w14:textFill>
            <w14:solidFill>
              <w14:schemeClr w14:val="tx1"/>
            </w14:solidFill>
          </w14:textFill>
        </w:rPr>
        <w:t xml:space="preserve"> 结构方案</w:t>
      </w:r>
      <w:bookmarkEnd w:id="95"/>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3.1结构设计相关参数</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表 3.1</w:t>
      </w:r>
    </w:p>
    <w:tbl>
      <w:tblPr>
        <w:tblStyle w:val="23"/>
        <w:tblW w:w="946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080"/>
        <w:gridCol w:w="43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80" w:type="dxa"/>
            <w:vAlign w:val="center"/>
          </w:tcPr>
          <w:p>
            <w:pPr>
              <w:spacing w:line="400" w:lineRule="exact"/>
              <w:ind w:right="273" w:rightChars="13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结构设计基准周期</w:t>
            </w:r>
          </w:p>
        </w:tc>
        <w:tc>
          <w:tcPr>
            <w:tcW w:w="4384" w:type="dxa"/>
            <w:vAlign w:val="center"/>
          </w:tcPr>
          <w:p>
            <w:pPr>
              <w:spacing w:line="400" w:lineRule="exact"/>
              <w:ind w:right="273" w:rightChars="13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50年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80" w:type="dxa"/>
            <w:vAlign w:val="center"/>
          </w:tcPr>
          <w:p>
            <w:pPr>
              <w:spacing w:line="400" w:lineRule="exact"/>
              <w:ind w:right="273" w:rightChars="13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结构设计使用年限</w:t>
            </w:r>
          </w:p>
        </w:tc>
        <w:tc>
          <w:tcPr>
            <w:tcW w:w="4384" w:type="dxa"/>
            <w:vAlign w:val="center"/>
          </w:tcPr>
          <w:p>
            <w:pPr>
              <w:spacing w:line="400" w:lineRule="exact"/>
              <w:ind w:right="273" w:rightChars="13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50年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80" w:type="dxa"/>
            <w:vAlign w:val="center"/>
          </w:tcPr>
          <w:p>
            <w:pPr>
              <w:spacing w:line="400" w:lineRule="exact"/>
              <w:ind w:right="273" w:rightChars="13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结构设计耐久性</w:t>
            </w:r>
          </w:p>
        </w:tc>
        <w:tc>
          <w:tcPr>
            <w:tcW w:w="4384" w:type="dxa"/>
            <w:vAlign w:val="center"/>
          </w:tcPr>
          <w:p>
            <w:pPr>
              <w:spacing w:line="400" w:lineRule="exact"/>
              <w:ind w:right="273" w:rightChars="13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50年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80" w:type="dxa"/>
            <w:vAlign w:val="center"/>
          </w:tcPr>
          <w:p>
            <w:pPr>
              <w:spacing w:line="400" w:lineRule="exact"/>
              <w:ind w:right="273" w:rightChars="13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地基基础设计等级</w:t>
            </w:r>
          </w:p>
        </w:tc>
        <w:tc>
          <w:tcPr>
            <w:tcW w:w="4384" w:type="dxa"/>
            <w:vAlign w:val="center"/>
          </w:tcPr>
          <w:p>
            <w:pPr>
              <w:spacing w:line="400" w:lineRule="exact"/>
              <w:ind w:right="273" w:rightChars="13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乙级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80" w:type="dxa"/>
            <w:vAlign w:val="center"/>
          </w:tcPr>
          <w:p>
            <w:pPr>
              <w:spacing w:line="400" w:lineRule="exact"/>
              <w:ind w:right="273" w:rightChars="13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建筑结构安全等级</w:t>
            </w:r>
          </w:p>
        </w:tc>
        <w:tc>
          <w:tcPr>
            <w:tcW w:w="4384" w:type="dxa"/>
            <w:vAlign w:val="center"/>
          </w:tcPr>
          <w:p>
            <w:pPr>
              <w:spacing w:line="400" w:lineRule="exact"/>
              <w:ind w:right="273" w:rightChars="13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80" w:type="dxa"/>
            <w:vAlign w:val="center"/>
          </w:tcPr>
          <w:p>
            <w:pPr>
              <w:spacing w:line="400" w:lineRule="exact"/>
              <w:ind w:right="273" w:rightChars="13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结构重要性系数</w:t>
            </w:r>
          </w:p>
        </w:tc>
        <w:tc>
          <w:tcPr>
            <w:tcW w:w="4384" w:type="dxa"/>
            <w:vAlign w:val="center"/>
          </w:tcPr>
          <w:p>
            <w:pPr>
              <w:spacing w:line="400" w:lineRule="exact"/>
              <w:ind w:right="273" w:rightChars="13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1.0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80" w:type="dxa"/>
            <w:vAlign w:val="center"/>
          </w:tcPr>
          <w:p>
            <w:pPr>
              <w:spacing w:line="400" w:lineRule="exact"/>
              <w:ind w:right="273" w:rightChars="13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抗震设防类别</w:t>
            </w:r>
          </w:p>
        </w:tc>
        <w:tc>
          <w:tcPr>
            <w:tcW w:w="4384" w:type="dxa"/>
            <w:vAlign w:val="center"/>
          </w:tcPr>
          <w:p>
            <w:pPr>
              <w:spacing w:line="400" w:lineRule="exact"/>
              <w:ind w:right="273" w:rightChars="13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乙类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80" w:type="dxa"/>
            <w:vAlign w:val="center"/>
          </w:tcPr>
          <w:p>
            <w:pPr>
              <w:spacing w:line="400" w:lineRule="exact"/>
              <w:ind w:right="273" w:rightChars="13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抗震设防烈度</w:t>
            </w:r>
          </w:p>
        </w:tc>
        <w:tc>
          <w:tcPr>
            <w:tcW w:w="4384" w:type="dxa"/>
            <w:vAlign w:val="center"/>
          </w:tcPr>
          <w:p>
            <w:pPr>
              <w:spacing w:line="400" w:lineRule="exact"/>
              <w:ind w:right="273" w:rightChars="13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8度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80" w:type="dxa"/>
            <w:vAlign w:val="center"/>
          </w:tcPr>
          <w:p>
            <w:pPr>
              <w:spacing w:line="400" w:lineRule="exact"/>
              <w:ind w:right="273" w:rightChars="13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设计基本地震加速度</w:t>
            </w:r>
          </w:p>
        </w:tc>
        <w:tc>
          <w:tcPr>
            <w:tcW w:w="4384" w:type="dxa"/>
            <w:vAlign w:val="center"/>
          </w:tcPr>
          <w:p>
            <w:pPr>
              <w:spacing w:line="400" w:lineRule="exact"/>
              <w:ind w:right="273" w:rightChars="13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0.20g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80" w:type="dxa"/>
            <w:vAlign w:val="center"/>
          </w:tcPr>
          <w:p>
            <w:pPr>
              <w:spacing w:line="400" w:lineRule="exact"/>
              <w:ind w:right="273" w:rightChars="13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设计地震分组</w:t>
            </w:r>
          </w:p>
        </w:tc>
        <w:tc>
          <w:tcPr>
            <w:tcW w:w="4384" w:type="dxa"/>
            <w:vAlign w:val="center"/>
          </w:tcPr>
          <w:p>
            <w:pPr>
              <w:spacing w:line="400" w:lineRule="exact"/>
              <w:ind w:right="273" w:rightChars="13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第三组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80" w:type="dxa"/>
            <w:vAlign w:val="center"/>
          </w:tcPr>
          <w:p>
            <w:pPr>
              <w:spacing w:line="400" w:lineRule="exact"/>
              <w:ind w:right="273" w:rightChars="13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场地类别</w:t>
            </w:r>
          </w:p>
        </w:tc>
        <w:tc>
          <w:tcPr>
            <w:tcW w:w="4384" w:type="dxa"/>
            <w:vAlign w:val="center"/>
          </w:tcPr>
          <w:p>
            <w:pPr>
              <w:spacing w:line="400" w:lineRule="exact"/>
              <w:ind w:right="273" w:rightChars="13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II类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80" w:type="dxa"/>
            <w:vAlign w:val="center"/>
          </w:tcPr>
          <w:p>
            <w:pPr>
              <w:spacing w:line="400" w:lineRule="exact"/>
              <w:ind w:right="273" w:rightChars="13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多遇水平地震影响系数最大值</w:t>
            </w:r>
          </w:p>
        </w:tc>
        <w:tc>
          <w:tcPr>
            <w:tcW w:w="4384" w:type="dxa"/>
            <w:vAlign w:val="center"/>
          </w:tcPr>
          <w:p>
            <w:pPr>
              <w:spacing w:line="400" w:lineRule="exact"/>
              <w:ind w:right="273" w:rightChars="13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0.16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80" w:type="dxa"/>
            <w:vAlign w:val="center"/>
          </w:tcPr>
          <w:p>
            <w:pPr>
              <w:spacing w:line="400" w:lineRule="exact"/>
              <w:ind w:right="273" w:rightChars="13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多遇地震特征周期Tg（s）</w:t>
            </w:r>
          </w:p>
        </w:tc>
        <w:tc>
          <w:tcPr>
            <w:tcW w:w="4384" w:type="dxa"/>
            <w:vAlign w:val="center"/>
          </w:tcPr>
          <w:p>
            <w:pPr>
              <w:spacing w:line="400" w:lineRule="exact"/>
              <w:ind w:right="273" w:rightChars="13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0.45</w:t>
            </w:r>
          </w:p>
        </w:tc>
      </w:tr>
    </w:tbl>
    <w:p>
      <w:pPr>
        <w:jc w:val="left"/>
        <w:rPr>
          <w:rFonts w:ascii="宋体" w:hAnsi="宋体"/>
          <w:color w:val="000000" w:themeColor="text1"/>
          <w:sz w:val="28"/>
          <w:szCs w:val="28"/>
          <w14:textFill>
            <w14:solidFill>
              <w14:schemeClr w14:val="tx1"/>
            </w14:solidFill>
          </w14:textFill>
        </w:rPr>
      </w:pP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3.2. 上部结构选型</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本工程建筑由多栋多层建筑建筑组成，多层建筑主要是功能为学校及办公。</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 xml:space="preserve"> 1）多层建筑（学校、办公）采用既能满足结构安全要求又能满足建筑使用功能要求的现浇钢筋混凝土框架结构，现浇钢筋混凝土楼、屋面。</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教学楼</w:t>
      </w:r>
      <w:r>
        <w:rPr>
          <w:rFonts w:hint="eastAsia" w:asciiTheme="minorEastAsia" w:hAnsiTheme="minorEastAsia" w:eastAsiaTheme="minorEastAsia" w:cstheme="minorEastAsia"/>
          <w:color w:val="000000" w:themeColor="text1"/>
          <w:sz w:val="32"/>
          <w:szCs w:val="32"/>
          <w14:textFill>
            <w14:solidFill>
              <w14:schemeClr w14:val="tx1"/>
            </w14:solidFill>
          </w14:textFill>
        </w:rPr>
        <w:t>地下室顶板作为结构计算嵌固端，其他子项基础顶作为结构计算嵌固端。</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4) 抗震等级</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 xml:space="preserve">   表 3.2</w:t>
      </w:r>
    </w:p>
    <w:tbl>
      <w:tblPr>
        <w:tblStyle w:val="23"/>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86"/>
        <w:gridCol w:w="3090"/>
        <w:gridCol w:w="3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86" w:type="dxa"/>
          </w:tcPr>
          <w:p>
            <w:pPr>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子项名称</w:t>
            </w:r>
          </w:p>
        </w:tc>
        <w:tc>
          <w:tcPr>
            <w:tcW w:w="3090" w:type="dxa"/>
          </w:tcPr>
          <w:p>
            <w:pPr>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结构类型</w:t>
            </w:r>
          </w:p>
        </w:tc>
        <w:tc>
          <w:tcPr>
            <w:tcW w:w="3006" w:type="dxa"/>
          </w:tcPr>
          <w:p>
            <w:pPr>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抗震等级（隔震前）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86" w:type="dxa"/>
          </w:tcPr>
          <w:p>
            <w:pPr>
              <w:jc w:val="center"/>
              <w:rPr>
                <w:rFonts w:hint="eastAsia" w:ascii="宋体" w:hAnsi="宋体" w:eastAsia="宋体"/>
                <w:color w:val="000000" w:themeColor="text1"/>
                <w:sz w:val="28"/>
                <w:szCs w:val="28"/>
                <w:lang w:eastAsia="zh-CN"/>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教学楼</w:t>
            </w:r>
          </w:p>
        </w:tc>
        <w:tc>
          <w:tcPr>
            <w:tcW w:w="3090" w:type="dxa"/>
          </w:tcPr>
          <w:p>
            <w:pPr>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框架</w:t>
            </w:r>
            <w:r>
              <w:rPr>
                <w:rFonts w:hint="eastAsia" w:ascii="宋体" w:hAnsi="宋体"/>
                <w:color w:val="000000" w:themeColor="text1"/>
                <w:sz w:val="28"/>
                <w:szCs w:val="28"/>
                <w:lang w:val="en-US" w:eastAsia="zh-CN"/>
                <w14:textFill>
                  <w14:solidFill>
                    <w14:schemeClr w14:val="tx1"/>
                  </w14:solidFill>
                </w14:textFill>
              </w:rPr>
              <w:t>4</w:t>
            </w:r>
            <w:r>
              <w:rPr>
                <w:rFonts w:ascii="宋体" w:hAnsi="宋体"/>
                <w:color w:val="000000" w:themeColor="text1"/>
                <w:sz w:val="28"/>
                <w:szCs w:val="28"/>
                <w14:textFill>
                  <w14:solidFill>
                    <w14:schemeClr w14:val="tx1"/>
                  </w14:solidFill>
                </w14:textFill>
              </w:rPr>
              <w:t>F</w:t>
            </w:r>
          </w:p>
        </w:tc>
        <w:tc>
          <w:tcPr>
            <w:tcW w:w="3006" w:type="dxa"/>
          </w:tcPr>
          <w:p>
            <w:pPr>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86" w:type="dxa"/>
          </w:tcPr>
          <w:p>
            <w:pPr>
              <w:jc w:val="center"/>
              <w:rPr>
                <w:rFonts w:hint="eastAsia" w:ascii="宋体" w:hAnsi="宋体" w:eastAsia="宋体"/>
                <w:color w:val="000000" w:themeColor="text1"/>
                <w:sz w:val="28"/>
                <w:szCs w:val="28"/>
                <w:lang w:eastAsia="zh-CN"/>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综合楼</w:t>
            </w:r>
          </w:p>
        </w:tc>
        <w:tc>
          <w:tcPr>
            <w:tcW w:w="3090" w:type="dxa"/>
          </w:tcPr>
          <w:p>
            <w:pPr>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框架</w:t>
            </w:r>
            <w:r>
              <w:rPr>
                <w:rFonts w:hint="eastAsia" w:ascii="宋体" w:hAnsi="宋体"/>
                <w:color w:val="000000" w:themeColor="text1"/>
                <w:sz w:val="28"/>
                <w:szCs w:val="28"/>
                <w:lang w:val="en-US" w:eastAsia="zh-CN"/>
                <w14:textFill>
                  <w14:solidFill>
                    <w14:schemeClr w14:val="tx1"/>
                  </w14:solidFill>
                </w14:textFill>
              </w:rPr>
              <w:t>4</w:t>
            </w:r>
            <w:r>
              <w:rPr>
                <w:rFonts w:ascii="宋体" w:hAnsi="宋体"/>
                <w:color w:val="000000" w:themeColor="text1"/>
                <w:sz w:val="28"/>
                <w:szCs w:val="28"/>
                <w14:textFill>
                  <w14:solidFill>
                    <w14:schemeClr w14:val="tx1"/>
                  </w14:solidFill>
                </w14:textFill>
              </w:rPr>
              <w:t>F</w:t>
            </w:r>
          </w:p>
        </w:tc>
        <w:tc>
          <w:tcPr>
            <w:tcW w:w="3006" w:type="dxa"/>
          </w:tcPr>
          <w:p>
            <w:pPr>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86" w:type="dxa"/>
          </w:tcPr>
          <w:p>
            <w:pPr>
              <w:jc w:val="center"/>
              <w:rPr>
                <w:rFonts w:hint="eastAsia" w:ascii="宋体" w:hAnsi="宋体" w:eastAsia="宋体"/>
                <w:color w:val="000000" w:themeColor="text1"/>
                <w:sz w:val="28"/>
                <w:szCs w:val="28"/>
                <w:lang w:eastAsia="zh-CN"/>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体育馆</w:t>
            </w:r>
          </w:p>
        </w:tc>
        <w:tc>
          <w:tcPr>
            <w:tcW w:w="3090" w:type="dxa"/>
          </w:tcPr>
          <w:p>
            <w:pPr>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框架</w:t>
            </w:r>
            <w:r>
              <w:rPr>
                <w:rFonts w:hint="eastAsia" w:ascii="宋体" w:hAnsi="宋体"/>
                <w:color w:val="000000" w:themeColor="text1"/>
                <w:sz w:val="28"/>
                <w:szCs w:val="28"/>
                <w:lang w:val="en-US" w:eastAsia="zh-CN"/>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F</w:t>
            </w:r>
          </w:p>
        </w:tc>
        <w:tc>
          <w:tcPr>
            <w:tcW w:w="3006" w:type="dxa"/>
          </w:tcPr>
          <w:p>
            <w:pPr>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86" w:type="dxa"/>
          </w:tcPr>
          <w:p>
            <w:pPr>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学生</w:t>
            </w:r>
            <w:r>
              <w:rPr>
                <w:rFonts w:hint="eastAsia" w:ascii="宋体" w:hAnsi="宋体"/>
                <w:color w:val="000000" w:themeColor="text1"/>
                <w:sz w:val="28"/>
                <w:szCs w:val="28"/>
                <w14:textFill>
                  <w14:solidFill>
                    <w14:schemeClr w14:val="tx1"/>
                  </w14:solidFill>
                </w14:textFill>
              </w:rPr>
              <w:t>食堂</w:t>
            </w:r>
          </w:p>
        </w:tc>
        <w:tc>
          <w:tcPr>
            <w:tcW w:w="3090" w:type="dxa"/>
          </w:tcPr>
          <w:p>
            <w:pPr>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框架</w:t>
            </w:r>
            <w:r>
              <w:rPr>
                <w:rFonts w:hint="eastAsia" w:ascii="宋体" w:hAnsi="宋体"/>
                <w:color w:val="000000" w:themeColor="text1"/>
                <w:sz w:val="28"/>
                <w:szCs w:val="28"/>
                <w:lang w:val="en-US" w:eastAsia="zh-CN"/>
                <w14:textFill>
                  <w14:solidFill>
                    <w14:schemeClr w14:val="tx1"/>
                  </w14:solidFill>
                </w14:textFill>
              </w:rPr>
              <w:t>4</w:t>
            </w:r>
            <w:r>
              <w:rPr>
                <w:rFonts w:ascii="宋体" w:hAnsi="宋体"/>
                <w:color w:val="000000" w:themeColor="text1"/>
                <w:sz w:val="28"/>
                <w:szCs w:val="28"/>
                <w14:textFill>
                  <w14:solidFill>
                    <w14:schemeClr w14:val="tx1"/>
                  </w14:solidFill>
                </w14:textFill>
              </w:rPr>
              <w:t>F</w:t>
            </w:r>
          </w:p>
        </w:tc>
        <w:tc>
          <w:tcPr>
            <w:tcW w:w="3006" w:type="dxa"/>
          </w:tcPr>
          <w:p>
            <w:pPr>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一级</w:t>
            </w:r>
          </w:p>
        </w:tc>
      </w:tr>
    </w:tbl>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 xml:space="preserve"> 5）抗震设计及计算原则</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为使结构具有良好、足够的抗震能力，结构设计中充分考虑以下方面问题：</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（1）、结构布置受力明确，传力途径直接简单。</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（2）、加强结构整体性，加强屋盖系统。</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（3）、控制各抗震单元的刚度，做到平、立面规则，各层刚度不发生突变。</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（4）、保证构件具有足够的延性，避免脆性破坏。</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（5）、采用合理、经济的材料，尽量减轻结构自重。</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3.3 地基基础</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根据经济、合理、安全、稳妥的基础设计原则。</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1.根据上部结构形式及建筑所处位置，基础结构方案拟采用：</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桩基础,天然基础</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教学楼地下室</w:t>
      </w:r>
      <w:r>
        <w:rPr>
          <w:rFonts w:hint="eastAsia" w:asciiTheme="minorEastAsia" w:hAnsiTheme="minorEastAsia" w:eastAsiaTheme="minorEastAsia" w:cstheme="minorEastAsia"/>
          <w:color w:val="000000" w:themeColor="text1"/>
          <w:sz w:val="32"/>
          <w:szCs w:val="32"/>
          <w14:textFill>
            <w14:solidFill>
              <w14:schemeClr w14:val="tx1"/>
            </w14:solidFill>
          </w14:textFill>
        </w:rPr>
        <w:t>采用现浇钢筋混凝土框架结构，现浇钢筋混凝土防水顶板、底板及挡土墙,地下室顶板厚200。混凝土抗渗等级≥P6。</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3.4设计计算软件</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asciiTheme="minorEastAsia" w:hAnsiTheme="minorEastAsia" w:eastAsiaTheme="minorEastAsia" w:cstheme="minorEastAsia"/>
          <w:color w:val="000000" w:themeColor="text1"/>
          <w:sz w:val="32"/>
          <w:szCs w:val="32"/>
          <w14:textFill>
            <w14:solidFill>
              <w14:schemeClr w14:val="tx1"/>
            </w14:solidFill>
          </w14:textFill>
        </w:rPr>
        <w:t xml:space="preserve"> “中国建筑科学研究院PKPM CAD工程部” 编制“PKPM网络版-系列软件v</w:t>
      </w:r>
      <w:r>
        <w:rPr>
          <w:rFonts w:hint="eastAsia" w:asciiTheme="minorEastAsia" w:hAnsiTheme="minorEastAsia" w:eastAsiaTheme="minorEastAsia" w:cstheme="minorEastAsia"/>
          <w:color w:val="000000" w:themeColor="text1"/>
          <w:sz w:val="32"/>
          <w:szCs w:val="32"/>
          <w14:textFill>
            <w14:solidFill>
              <w14:schemeClr w14:val="tx1"/>
            </w14:solidFill>
          </w14:textFill>
        </w:rPr>
        <w:t>4.3版</w:t>
      </w:r>
      <w:r>
        <w:rPr>
          <w:rFonts w:asciiTheme="minorEastAsia" w:hAnsiTheme="minorEastAsia" w:eastAsiaTheme="minorEastAsia" w:cstheme="minorEastAsia"/>
          <w:color w:val="000000" w:themeColor="text1"/>
          <w:sz w:val="32"/>
          <w:szCs w:val="32"/>
          <w14:textFill>
            <w14:solidFill>
              <w14:schemeClr w14:val="tx1"/>
            </w14:solidFill>
          </w14:textFill>
        </w:rPr>
        <w:t>。</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3.5 使用材料：</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 ） 钢筋及钢材：</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3"/>
        <w:gridCol w:w="5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3" w:type="dxa"/>
            <w:vAlign w:val="center"/>
          </w:tcPr>
          <w:p>
            <w:pPr>
              <w:spacing w:line="440" w:lineRule="exact"/>
              <w:ind w:right="273" w:rightChars="13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构件部位</w:t>
            </w:r>
          </w:p>
        </w:tc>
        <w:tc>
          <w:tcPr>
            <w:tcW w:w="5884" w:type="dxa"/>
            <w:vAlign w:val="center"/>
          </w:tcPr>
          <w:p>
            <w:pPr>
              <w:spacing w:line="440" w:lineRule="exact"/>
              <w:ind w:right="273" w:rightChars="13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钢筋等级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3" w:type="dxa"/>
            <w:vAlign w:val="center"/>
          </w:tcPr>
          <w:p>
            <w:pPr>
              <w:spacing w:line="440" w:lineRule="exact"/>
              <w:ind w:right="273" w:rightChars="13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板受力筋</w:t>
            </w:r>
          </w:p>
        </w:tc>
        <w:tc>
          <w:tcPr>
            <w:tcW w:w="5884" w:type="dxa"/>
            <w:vAlign w:val="center"/>
          </w:tcPr>
          <w:p>
            <w:pPr>
              <w:spacing w:line="440" w:lineRule="exact"/>
              <w:ind w:right="273" w:rightChars="13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HRB400（三）级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3" w:type="dxa"/>
            <w:vAlign w:val="center"/>
          </w:tcPr>
          <w:p>
            <w:pPr>
              <w:spacing w:line="440" w:lineRule="exact"/>
              <w:ind w:right="273" w:rightChars="13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板分布筋</w:t>
            </w:r>
          </w:p>
        </w:tc>
        <w:tc>
          <w:tcPr>
            <w:tcW w:w="5884" w:type="dxa"/>
            <w:vAlign w:val="center"/>
          </w:tcPr>
          <w:p>
            <w:pPr>
              <w:spacing w:line="440" w:lineRule="exact"/>
              <w:ind w:right="273" w:rightChars="13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HRB400（三）级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3" w:type="dxa"/>
            <w:vAlign w:val="center"/>
          </w:tcPr>
          <w:p>
            <w:pPr>
              <w:spacing w:line="440" w:lineRule="exact"/>
              <w:ind w:right="273" w:rightChars="13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柱、墙受力筋</w:t>
            </w:r>
          </w:p>
        </w:tc>
        <w:tc>
          <w:tcPr>
            <w:tcW w:w="5884" w:type="dxa"/>
            <w:vAlign w:val="center"/>
          </w:tcPr>
          <w:p>
            <w:pPr>
              <w:spacing w:line="440" w:lineRule="exact"/>
              <w:ind w:right="273" w:rightChars="13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HRB400（三）级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3" w:type="dxa"/>
            <w:vAlign w:val="center"/>
          </w:tcPr>
          <w:p>
            <w:pPr>
              <w:spacing w:line="440" w:lineRule="exact"/>
              <w:ind w:right="273" w:rightChars="13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梁受力筋</w:t>
            </w:r>
          </w:p>
        </w:tc>
        <w:tc>
          <w:tcPr>
            <w:tcW w:w="5884" w:type="dxa"/>
            <w:vAlign w:val="center"/>
          </w:tcPr>
          <w:p>
            <w:pPr>
              <w:spacing w:line="440" w:lineRule="exact"/>
              <w:ind w:right="273" w:rightChars="13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HRB400（三）级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3" w:type="dxa"/>
            <w:vAlign w:val="center"/>
          </w:tcPr>
          <w:p>
            <w:pPr>
              <w:spacing w:line="440" w:lineRule="exact"/>
              <w:ind w:right="273" w:rightChars="13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柱、墙、梁箍筋</w:t>
            </w:r>
          </w:p>
        </w:tc>
        <w:tc>
          <w:tcPr>
            <w:tcW w:w="5884" w:type="dxa"/>
            <w:vAlign w:val="center"/>
          </w:tcPr>
          <w:p>
            <w:pPr>
              <w:spacing w:line="440" w:lineRule="exact"/>
              <w:ind w:right="273" w:rightChars="13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HRB400（三）级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3" w:type="dxa"/>
            <w:vAlign w:val="center"/>
          </w:tcPr>
          <w:p>
            <w:pPr>
              <w:spacing w:line="440" w:lineRule="exact"/>
              <w:ind w:right="273" w:rightChars="13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地下顶板梁</w:t>
            </w:r>
          </w:p>
        </w:tc>
        <w:tc>
          <w:tcPr>
            <w:tcW w:w="5884" w:type="dxa"/>
            <w:vAlign w:val="center"/>
          </w:tcPr>
          <w:p>
            <w:pPr>
              <w:spacing w:line="440" w:lineRule="exact"/>
              <w:ind w:right="273" w:rightChars="13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HRB400（三）级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8727" w:type="dxa"/>
            <w:gridSpan w:val="2"/>
            <w:vAlign w:val="center"/>
          </w:tcPr>
          <w:p>
            <w:pPr>
              <w:spacing w:line="440" w:lineRule="exact"/>
              <w:ind w:right="273" w:rightChars="13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钢筋的抗拉强度实测值与屈服强度实测值的比值不应小于1.25；钢筋的屈服强度实测值与屈服强度标准值的比值不大于1.3，且钢筋在最大拉力下的总伸长率实测值不应小于9％；钢筋的强度标准值应具有不小于95％的保证率。</w:t>
            </w:r>
          </w:p>
        </w:tc>
      </w:tr>
    </w:tbl>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2）混凝土：</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3"/>
        <w:gridCol w:w="2703"/>
        <w:gridCol w:w="2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96" w:type="dxa"/>
            <w:gridSpan w:val="2"/>
            <w:vAlign w:val="center"/>
          </w:tcPr>
          <w:p>
            <w:pPr>
              <w:spacing w:line="400" w:lineRule="exact"/>
              <w:ind w:right="273" w:rightChars="130" w:firstLine="280" w:firstLineChars="1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混凝土强度等级</w:t>
            </w:r>
          </w:p>
        </w:tc>
        <w:tc>
          <w:tcPr>
            <w:tcW w:w="2397" w:type="dxa"/>
            <w:vAlign w:val="center"/>
          </w:tcPr>
          <w:p>
            <w:pPr>
              <w:spacing w:line="440" w:lineRule="exact"/>
              <w:ind w:right="273" w:rightChars="130"/>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3193" w:type="dxa"/>
            <w:vAlign w:val="center"/>
          </w:tcPr>
          <w:p>
            <w:pPr>
              <w:spacing w:line="400" w:lineRule="exact"/>
              <w:ind w:right="273" w:rightChars="130"/>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剪力墙、框架柱</w:t>
            </w:r>
          </w:p>
        </w:tc>
        <w:tc>
          <w:tcPr>
            <w:tcW w:w="2703" w:type="dxa"/>
            <w:vAlign w:val="center"/>
          </w:tcPr>
          <w:p>
            <w:pPr>
              <w:spacing w:line="400" w:lineRule="exact"/>
              <w:ind w:right="273" w:rightChars="130"/>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C40，C35， C30</w:t>
            </w:r>
          </w:p>
        </w:tc>
        <w:tc>
          <w:tcPr>
            <w:tcW w:w="2397" w:type="dxa"/>
            <w:vMerge w:val="restart"/>
            <w:vAlign w:val="center"/>
          </w:tcPr>
          <w:p>
            <w:pPr>
              <w:spacing w:line="440" w:lineRule="exact"/>
              <w:ind w:right="273" w:rightChars="13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地下室底板、外墙、覆土顶板以及水池侧壁等均采用抗裂防渗混凝土，抗渗等级为P6（0.6MPa）。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3193" w:type="dxa"/>
            <w:vAlign w:val="center"/>
          </w:tcPr>
          <w:p>
            <w:pPr>
              <w:spacing w:line="400" w:lineRule="exact"/>
              <w:ind w:right="273" w:rightChars="130"/>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梁、板、楼梯</w:t>
            </w:r>
          </w:p>
        </w:tc>
        <w:tc>
          <w:tcPr>
            <w:tcW w:w="2703" w:type="dxa"/>
            <w:vAlign w:val="center"/>
          </w:tcPr>
          <w:p>
            <w:pPr>
              <w:spacing w:line="400" w:lineRule="exact"/>
              <w:ind w:right="273" w:rightChars="130"/>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C30</w:t>
            </w:r>
          </w:p>
        </w:tc>
        <w:tc>
          <w:tcPr>
            <w:tcW w:w="2397" w:type="dxa"/>
            <w:vMerge w:val="continue"/>
            <w:vAlign w:val="center"/>
          </w:tcPr>
          <w:p>
            <w:pPr>
              <w:spacing w:line="440" w:lineRule="exact"/>
              <w:ind w:right="273" w:rightChars="130"/>
              <w:rPr>
                <w:rFonts w:ascii="宋体" w:hAnsi="宋体" w:cs="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3193" w:type="dxa"/>
            <w:vAlign w:val="center"/>
          </w:tcPr>
          <w:p>
            <w:pPr>
              <w:spacing w:line="400" w:lineRule="exact"/>
              <w:ind w:right="273" w:rightChars="130"/>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桩基础</w:t>
            </w:r>
          </w:p>
        </w:tc>
        <w:tc>
          <w:tcPr>
            <w:tcW w:w="2703" w:type="dxa"/>
            <w:vAlign w:val="center"/>
          </w:tcPr>
          <w:p>
            <w:pPr>
              <w:spacing w:line="400" w:lineRule="exact"/>
              <w:ind w:right="273" w:rightChars="130"/>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C30</w:t>
            </w:r>
          </w:p>
        </w:tc>
        <w:tc>
          <w:tcPr>
            <w:tcW w:w="2397" w:type="dxa"/>
            <w:vMerge w:val="continue"/>
            <w:vAlign w:val="center"/>
          </w:tcPr>
          <w:p>
            <w:pPr>
              <w:spacing w:line="440" w:lineRule="exact"/>
              <w:ind w:right="273" w:rightChars="130"/>
              <w:rPr>
                <w:rFonts w:ascii="宋体" w:hAnsi="宋体" w:cs="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3193" w:type="dxa"/>
            <w:vAlign w:val="center"/>
          </w:tcPr>
          <w:p>
            <w:pPr>
              <w:spacing w:line="400" w:lineRule="exact"/>
              <w:ind w:right="273" w:rightChars="130"/>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基础底板</w:t>
            </w:r>
          </w:p>
        </w:tc>
        <w:tc>
          <w:tcPr>
            <w:tcW w:w="2703" w:type="dxa"/>
            <w:vAlign w:val="center"/>
          </w:tcPr>
          <w:p>
            <w:pPr>
              <w:spacing w:line="400" w:lineRule="exact"/>
              <w:ind w:right="273" w:rightChars="130"/>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C30</w:t>
            </w:r>
          </w:p>
        </w:tc>
        <w:tc>
          <w:tcPr>
            <w:tcW w:w="2397" w:type="dxa"/>
            <w:vMerge w:val="continue"/>
            <w:vAlign w:val="center"/>
          </w:tcPr>
          <w:p>
            <w:pPr>
              <w:spacing w:line="440" w:lineRule="exact"/>
              <w:ind w:right="273" w:rightChars="130"/>
              <w:jc w:val="center"/>
              <w:rPr>
                <w:rFonts w:ascii="宋体" w:hAnsi="宋体" w:cs="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3193" w:type="dxa"/>
            <w:vAlign w:val="center"/>
          </w:tcPr>
          <w:p>
            <w:pPr>
              <w:spacing w:line="400" w:lineRule="exact"/>
              <w:ind w:right="273" w:rightChars="130"/>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基础垫层</w:t>
            </w:r>
          </w:p>
        </w:tc>
        <w:tc>
          <w:tcPr>
            <w:tcW w:w="2703" w:type="dxa"/>
            <w:vAlign w:val="center"/>
          </w:tcPr>
          <w:p>
            <w:pPr>
              <w:spacing w:line="400" w:lineRule="exact"/>
              <w:ind w:right="273" w:rightChars="130"/>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C20</w:t>
            </w:r>
          </w:p>
        </w:tc>
        <w:tc>
          <w:tcPr>
            <w:tcW w:w="2397" w:type="dxa"/>
            <w:vMerge w:val="continue"/>
            <w:vAlign w:val="center"/>
          </w:tcPr>
          <w:p>
            <w:pPr>
              <w:spacing w:line="440" w:lineRule="exact"/>
              <w:ind w:right="273" w:rightChars="130"/>
              <w:jc w:val="center"/>
              <w:rPr>
                <w:rFonts w:ascii="宋体" w:hAnsi="宋体" w:cs="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3193" w:type="dxa"/>
            <w:vAlign w:val="center"/>
          </w:tcPr>
          <w:p>
            <w:pPr>
              <w:spacing w:line="400" w:lineRule="exact"/>
              <w:ind w:right="273" w:rightChars="13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构造柱、圈梁、现浇过梁</w:t>
            </w:r>
          </w:p>
        </w:tc>
        <w:tc>
          <w:tcPr>
            <w:tcW w:w="2703" w:type="dxa"/>
            <w:vAlign w:val="center"/>
          </w:tcPr>
          <w:p>
            <w:pPr>
              <w:spacing w:line="400" w:lineRule="exact"/>
              <w:ind w:right="273" w:rightChars="130"/>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C25</w:t>
            </w:r>
          </w:p>
        </w:tc>
        <w:tc>
          <w:tcPr>
            <w:tcW w:w="2397" w:type="dxa"/>
            <w:vMerge w:val="continue"/>
            <w:vAlign w:val="center"/>
          </w:tcPr>
          <w:p>
            <w:pPr>
              <w:spacing w:line="440" w:lineRule="exact"/>
              <w:ind w:right="273" w:rightChars="130"/>
              <w:jc w:val="center"/>
              <w:rPr>
                <w:rFonts w:ascii="宋体" w:hAnsi="宋体" w:cs="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3" w:type="dxa"/>
            <w:gridSpan w:val="3"/>
            <w:vAlign w:val="center"/>
          </w:tcPr>
          <w:p>
            <w:pPr>
              <w:spacing w:line="400" w:lineRule="exact"/>
              <w:ind w:right="273" w:rightChars="13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后浇带：采用比周边砼构件强度等级高一级的补偿收缩混凝土。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3" w:type="dxa"/>
            <w:gridSpan w:val="3"/>
            <w:vAlign w:val="center"/>
          </w:tcPr>
          <w:p>
            <w:pPr>
              <w:spacing w:line="400" w:lineRule="exact"/>
              <w:ind w:right="273" w:rightChars="13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标准构件：按标准图集的要求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3" w:type="dxa"/>
            <w:gridSpan w:val="3"/>
            <w:vAlign w:val="center"/>
          </w:tcPr>
          <w:p>
            <w:pPr>
              <w:spacing w:line="400" w:lineRule="exact"/>
              <w:ind w:right="273" w:rightChars="13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环境类别</w:t>
            </w:r>
            <w:r>
              <w:rPr>
                <w:rFonts w:hint="eastAsia" w:ascii="宋体" w:hAnsi="宋体" w:cs="宋体"/>
                <w:b/>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桩、基础底板、外墙为二a类，其余为一类。</w:t>
            </w:r>
          </w:p>
        </w:tc>
      </w:tr>
    </w:tbl>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3）非承重砌体（用作填充墙）：</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80"/>
        <w:gridCol w:w="2268"/>
        <w:gridCol w:w="2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0" w:type="dxa"/>
            <w:vAlign w:val="center"/>
          </w:tcPr>
          <w:p>
            <w:pPr>
              <w:spacing w:line="440" w:lineRule="exact"/>
              <w:ind w:right="273" w:rightChars="130"/>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墙体材料</w:t>
            </w:r>
          </w:p>
        </w:tc>
        <w:tc>
          <w:tcPr>
            <w:tcW w:w="2268" w:type="dxa"/>
            <w:vAlign w:val="center"/>
          </w:tcPr>
          <w:p>
            <w:pPr>
              <w:spacing w:line="440" w:lineRule="exact"/>
              <w:ind w:right="273" w:rightChars="130"/>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砌块强度等级</w:t>
            </w:r>
          </w:p>
        </w:tc>
        <w:tc>
          <w:tcPr>
            <w:tcW w:w="2413" w:type="dxa"/>
            <w:vAlign w:val="center"/>
          </w:tcPr>
          <w:p>
            <w:pPr>
              <w:spacing w:line="440" w:lineRule="exact"/>
              <w:ind w:right="273" w:rightChars="130"/>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砂浆强度等级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0" w:type="dxa"/>
            <w:vAlign w:val="center"/>
          </w:tcPr>
          <w:p>
            <w:pPr>
              <w:spacing w:line="440" w:lineRule="exact"/>
              <w:ind w:right="273" w:rightChars="130"/>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蒸压加气混凝土砌块</w:t>
            </w:r>
          </w:p>
        </w:tc>
        <w:tc>
          <w:tcPr>
            <w:tcW w:w="2268" w:type="dxa"/>
            <w:vAlign w:val="center"/>
          </w:tcPr>
          <w:p>
            <w:pPr>
              <w:spacing w:line="440" w:lineRule="exact"/>
              <w:ind w:right="273" w:rightChars="130"/>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≥A3.5</w:t>
            </w:r>
          </w:p>
        </w:tc>
        <w:tc>
          <w:tcPr>
            <w:tcW w:w="2413" w:type="dxa"/>
            <w:vAlign w:val="center"/>
          </w:tcPr>
          <w:p>
            <w:pPr>
              <w:spacing w:line="440" w:lineRule="exact"/>
              <w:ind w:right="273" w:rightChars="130"/>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≥Ma5.0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0" w:type="dxa"/>
            <w:vAlign w:val="center"/>
          </w:tcPr>
          <w:p>
            <w:pPr>
              <w:spacing w:line="440" w:lineRule="exact"/>
              <w:ind w:right="273" w:rightChars="130"/>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混凝土空心砌块</w:t>
            </w:r>
          </w:p>
        </w:tc>
        <w:tc>
          <w:tcPr>
            <w:tcW w:w="2268" w:type="dxa"/>
            <w:vAlign w:val="center"/>
          </w:tcPr>
          <w:p>
            <w:pPr>
              <w:spacing w:line="440" w:lineRule="exact"/>
              <w:ind w:right="273" w:rightChars="130"/>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≥MU5.0</w:t>
            </w:r>
          </w:p>
        </w:tc>
        <w:tc>
          <w:tcPr>
            <w:tcW w:w="2413" w:type="dxa"/>
            <w:vAlign w:val="center"/>
          </w:tcPr>
          <w:p>
            <w:pPr>
              <w:spacing w:line="440" w:lineRule="exact"/>
              <w:ind w:right="273" w:rightChars="130"/>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≥Mb5.0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0" w:type="dxa"/>
            <w:vAlign w:val="center"/>
          </w:tcPr>
          <w:p>
            <w:pPr>
              <w:spacing w:line="440" w:lineRule="exact"/>
              <w:ind w:right="273" w:rightChars="130"/>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混凝土实心砖</w:t>
            </w:r>
          </w:p>
        </w:tc>
        <w:tc>
          <w:tcPr>
            <w:tcW w:w="2268" w:type="dxa"/>
            <w:vAlign w:val="center"/>
          </w:tcPr>
          <w:p>
            <w:pPr>
              <w:spacing w:line="440" w:lineRule="exact"/>
              <w:ind w:right="273" w:rightChars="130"/>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≥MU7.5</w:t>
            </w:r>
          </w:p>
        </w:tc>
        <w:tc>
          <w:tcPr>
            <w:tcW w:w="2413" w:type="dxa"/>
            <w:vAlign w:val="center"/>
          </w:tcPr>
          <w:p>
            <w:pPr>
              <w:spacing w:line="440" w:lineRule="exact"/>
              <w:ind w:right="273" w:rightChars="130"/>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≥M5.0</w:t>
            </w:r>
          </w:p>
        </w:tc>
      </w:tr>
    </w:tbl>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4） 混凝土保护层厚度：</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二（a）类环境保护层厚度：桩基承台及筏板底面为50mm，顶面为25 mm；地下室外墙外侧为50mm，内侧为25mm；地下室覆土顶板：板顶为20mm，梁顶为25mm。</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一类环境保护层厚度：板：15mm，墙：15mm，梁：20mm，柱：20mm。</w:t>
      </w:r>
    </w:p>
    <w:p>
      <w:pPr>
        <w:ind w:right="-4" w:rightChars="-2"/>
        <w:outlineLvl w:val="1"/>
        <w:rPr>
          <w:rStyle w:val="39"/>
          <w:color w:val="000000" w:themeColor="text1"/>
          <w14:textFill>
            <w14:solidFill>
              <w14:schemeClr w14:val="tx1"/>
            </w14:solidFill>
          </w14:textFill>
        </w:rPr>
      </w:pPr>
      <w:bookmarkStart w:id="96" w:name="_Toc32097"/>
      <w:r>
        <w:rPr>
          <w:rStyle w:val="39"/>
          <w:rFonts w:hint="eastAsia"/>
          <w:color w:val="000000" w:themeColor="text1"/>
          <w14:textFill>
            <w14:solidFill>
              <w14:schemeClr w14:val="tx1"/>
            </w14:solidFill>
          </w14:textFill>
        </w:rPr>
        <w:t>7.4 采取的加强和改进措施</w:t>
      </w:r>
      <w:bookmarkEnd w:id="96"/>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本工程设计严格按照现行标准、规范及规程加强抗震措施，具体的抗震措施如下：</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4.1为减轻结构自重，降低地震作用，填充墙采用蒸压加气混凝土砌块。</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4.2合理控制结构构件的断面尺寸及钢筋设置，满足结构的强柱弱梁、强剪弱弯要求，以及避免混凝土的压溃先于钢筋的屈服。</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4.3钢筋混凝土构造柱施工时，应先砌墙后浇注构造柱，加强地震作用时对填充墙的约束作用，保证填充墙在地震作用下的稳定。</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4.5加强角柱、楼梯间周围柱的箍筋配置。</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4.6加强楼梯间四周填充墙与框架柱、墙的拉接。</w:t>
      </w:r>
    </w:p>
    <w:p>
      <w:pPr>
        <w:rPr>
          <w:b/>
          <w:color w:val="000000" w:themeColor="text1"/>
          <w14:textFill>
            <w14:solidFill>
              <w14:schemeClr w14:val="tx1"/>
            </w14:solidFill>
          </w14:textFill>
        </w:rPr>
      </w:pPr>
    </w:p>
    <w:p>
      <w:pPr>
        <w:pStyle w:val="2"/>
        <w:jc w:val="center"/>
        <w:rPr>
          <w:color w:val="000000" w:themeColor="text1"/>
          <w14:textFill>
            <w14:solidFill>
              <w14:schemeClr w14:val="tx1"/>
            </w14:solidFill>
          </w14:textFill>
        </w:rPr>
      </w:pPr>
      <w:bookmarkStart w:id="97" w:name="_Toc10835"/>
      <w:r>
        <w:rPr>
          <w:rFonts w:hint="eastAsia"/>
          <w:color w:val="000000" w:themeColor="text1"/>
          <w14:textFill>
            <w14:solidFill>
              <w14:schemeClr w14:val="tx1"/>
            </w14:solidFill>
          </w14:textFill>
        </w:rPr>
        <w:t>第八章  给排水设计</w:t>
      </w:r>
      <w:bookmarkEnd w:id="97"/>
    </w:p>
    <w:p>
      <w:pPr>
        <w:ind w:right="-4" w:rightChars="-2"/>
        <w:outlineLvl w:val="1"/>
        <w:rPr>
          <w:rStyle w:val="39"/>
          <w:color w:val="000000" w:themeColor="text1"/>
          <w14:textFill>
            <w14:solidFill>
              <w14:schemeClr w14:val="tx1"/>
            </w14:solidFill>
          </w14:textFill>
        </w:rPr>
      </w:pPr>
      <w:bookmarkStart w:id="98" w:name="_Toc24920"/>
      <w:r>
        <w:rPr>
          <w:rStyle w:val="39"/>
          <w:rFonts w:hint="eastAsia"/>
          <w:color w:val="000000" w:themeColor="text1"/>
          <w14:textFill>
            <w14:solidFill>
              <w14:schemeClr w14:val="tx1"/>
            </w14:solidFill>
          </w14:textFill>
        </w:rPr>
        <w:t>8.1 设计依据</w:t>
      </w:r>
      <w:bookmarkEnd w:id="98"/>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1．建设单位关于本项目的设计任务书、设计要求和建设单位提供的有关资料。</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2．建设单位提供的市政条件资料。</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3．本项目建筑、结构、采暖空调、电气和总图等专业提供的作业条件图和设计资料。</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4．国家现行相关规范：</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《建筑给排水设计标准》</w:t>
      </w:r>
      <w:r>
        <w:rPr>
          <w:rFonts w:asciiTheme="minorEastAsia" w:hAnsiTheme="minorEastAsia" w:eastAsiaTheme="minorEastAsia" w:cstheme="minorEastAsia"/>
          <w:color w:val="000000" w:themeColor="text1"/>
          <w:sz w:val="32"/>
          <w:szCs w:val="32"/>
          <w14:textFill>
            <w14:solidFill>
              <w14:schemeClr w14:val="tx1"/>
            </w14:solidFill>
          </w14:textFill>
        </w:rPr>
        <w:t>GB50015-20</w:t>
      </w:r>
      <w:r>
        <w:rPr>
          <w:rFonts w:hint="eastAsia" w:asciiTheme="minorEastAsia" w:hAnsiTheme="minorEastAsia" w:eastAsiaTheme="minorEastAsia" w:cstheme="minorEastAsia"/>
          <w:color w:val="000000" w:themeColor="text1"/>
          <w:sz w:val="32"/>
          <w:szCs w:val="32"/>
          <w14:textFill>
            <w14:solidFill>
              <w14:schemeClr w14:val="tx1"/>
            </w14:solidFill>
          </w14:textFill>
        </w:rPr>
        <w:t>19</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《建筑设计防火规范》</w:t>
      </w:r>
      <w:r>
        <w:rPr>
          <w:rFonts w:asciiTheme="minorEastAsia" w:hAnsiTheme="minorEastAsia" w:eastAsiaTheme="minorEastAsia" w:cstheme="minorEastAsia"/>
          <w:color w:val="000000" w:themeColor="text1"/>
          <w:sz w:val="32"/>
          <w:szCs w:val="32"/>
          <w14:textFill>
            <w14:solidFill>
              <w14:schemeClr w14:val="tx1"/>
            </w14:solidFill>
          </w14:textFill>
        </w:rPr>
        <w:t xml:space="preserve"> GB50016-2014</w:t>
      </w:r>
      <w:r>
        <w:rPr>
          <w:rFonts w:hint="eastAsia" w:asciiTheme="minorEastAsia" w:hAnsiTheme="minorEastAsia" w:eastAsiaTheme="minorEastAsia" w:cstheme="minorEastAsia"/>
          <w:color w:val="000000" w:themeColor="text1"/>
          <w:sz w:val="32"/>
          <w:szCs w:val="32"/>
          <w14:textFill>
            <w14:solidFill>
              <w14:schemeClr w14:val="tx1"/>
            </w14:solidFill>
          </w14:textFill>
        </w:rPr>
        <w:t xml:space="preserve">   （</w:t>
      </w:r>
      <w:r>
        <w:rPr>
          <w:rFonts w:asciiTheme="minorEastAsia" w:hAnsiTheme="minorEastAsia" w:eastAsiaTheme="minorEastAsia" w:cstheme="minorEastAsia"/>
          <w:color w:val="000000" w:themeColor="text1"/>
          <w:sz w:val="32"/>
          <w:szCs w:val="32"/>
          <w14:textFill>
            <w14:solidFill>
              <w14:schemeClr w14:val="tx1"/>
            </w14:solidFill>
          </w14:textFill>
        </w:rPr>
        <w:t>20</w:t>
      </w:r>
      <w:r>
        <w:rPr>
          <w:rFonts w:hint="eastAsia" w:asciiTheme="minorEastAsia" w:hAnsiTheme="minorEastAsia" w:eastAsiaTheme="minorEastAsia" w:cstheme="minorEastAsia"/>
          <w:color w:val="000000" w:themeColor="text1"/>
          <w:sz w:val="32"/>
          <w:szCs w:val="32"/>
          <w14:textFill>
            <w14:solidFill>
              <w14:schemeClr w14:val="tx1"/>
            </w14:solidFill>
          </w14:textFill>
        </w:rPr>
        <w:t>18年版）</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《自动喷水灭火系统设计规范》</w:t>
      </w:r>
      <w:r>
        <w:rPr>
          <w:rFonts w:asciiTheme="minorEastAsia" w:hAnsiTheme="minorEastAsia" w:eastAsiaTheme="minorEastAsia" w:cstheme="minorEastAsia"/>
          <w:color w:val="000000" w:themeColor="text1"/>
          <w:sz w:val="32"/>
          <w:szCs w:val="32"/>
          <w14:textFill>
            <w14:solidFill>
              <w14:schemeClr w14:val="tx1"/>
            </w14:solidFill>
          </w14:textFill>
        </w:rPr>
        <w:t xml:space="preserve"> GB50084-20</w:t>
      </w:r>
      <w:r>
        <w:rPr>
          <w:rFonts w:hint="eastAsia" w:asciiTheme="minorEastAsia" w:hAnsiTheme="minorEastAsia" w:eastAsiaTheme="minorEastAsia" w:cstheme="minorEastAsia"/>
          <w:color w:val="000000" w:themeColor="text1"/>
          <w:sz w:val="32"/>
          <w:szCs w:val="32"/>
          <w14:textFill>
            <w14:solidFill>
              <w14:schemeClr w14:val="tx1"/>
            </w14:solidFill>
          </w14:textFill>
        </w:rPr>
        <w:t>17</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《消防给水及消火栓系统技术规范》</w:t>
      </w:r>
      <w:r>
        <w:rPr>
          <w:rFonts w:asciiTheme="minorEastAsia" w:hAnsiTheme="minorEastAsia" w:eastAsiaTheme="minorEastAsia" w:cstheme="minorEastAsia"/>
          <w:color w:val="000000" w:themeColor="text1"/>
          <w:sz w:val="32"/>
          <w:szCs w:val="32"/>
          <w14:textFill>
            <w14:solidFill>
              <w14:schemeClr w14:val="tx1"/>
            </w14:solidFill>
          </w14:textFill>
        </w:rPr>
        <w:t>GB50974-2014</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《建筑灭火器配置设计规范》</w:t>
      </w:r>
      <w:r>
        <w:rPr>
          <w:rFonts w:asciiTheme="minorEastAsia" w:hAnsiTheme="minorEastAsia" w:eastAsiaTheme="minorEastAsia" w:cstheme="minorEastAsia"/>
          <w:color w:val="000000" w:themeColor="text1"/>
          <w:sz w:val="32"/>
          <w:szCs w:val="32"/>
          <w14:textFill>
            <w14:solidFill>
              <w14:schemeClr w14:val="tx1"/>
            </w14:solidFill>
          </w14:textFill>
        </w:rPr>
        <w:t>GB50140-2005</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《室外给水设计标准》</w:t>
      </w:r>
      <w:r>
        <w:rPr>
          <w:rFonts w:asciiTheme="minorEastAsia" w:hAnsiTheme="minorEastAsia" w:eastAsiaTheme="minorEastAsia" w:cstheme="minorEastAsia"/>
          <w:color w:val="000000" w:themeColor="text1"/>
          <w:sz w:val="32"/>
          <w:szCs w:val="32"/>
          <w14:textFill>
            <w14:solidFill>
              <w14:schemeClr w14:val="tx1"/>
            </w14:solidFill>
          </w14:textFill>
        </w:rPr>
        <w:t>GB50013-20</w:t>
      </w:r>
      <w:r>
        <w:rPr>
          <w:rFonts w:hint="eastAsia" w:asciiTheme="minorEastAsia" w:hAnsiTheme="minorEastAsia" w:eastAsiaTheme="minorEastAsia" w:cstheme="minorEastAsia"/>
          <w:color w:val="000000" w:themeColor="text1"/>
          <w:sz w:val="32"/>
          <w:szCs w:val="32"/>
          <w14:textFill>
            <w14:solidFill>
              <w14:schemeClr w14:val="tx1"/>
            </w14:solidFill>
          </w14:textFill>
        </w:rPr>
        <w:t>18</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《室外排水设计标准》</w:t>
      </w:r>
      <w:r>
        <w:rPr>
          <w:rFonts w:asciiTheme="minorEastAsia" w:hAnsiTheme="minorEastAsia" w:eastAsiaTheme="minorEastAsia" w:cstheme="minorEastAsia"/>
          <w:color w:val="000000" w:themeColor="text1"/>
          <w:sz w:val="32"/>
          <w:szCs w:val="32"/>
          <w14:textFill>
            <w14:solidFill>
              <w14:schemeClr w14:val="tx1"/>
            </w14:solidFill>
          </w14:textFill>
        </w:rPr>
        <w:t>GB50014-20</w:t>
      </w:r>
      <w:r>
        <w:rPr>
          <w:rFonts w:hint="eastAsia" w:asciiTheme="minorEastAsia" w:hAnsiTheme="minorEastAsia" w:eastAsiaTheme="minorEastAsia" w:cstheme="minorEastAsia"/>
          <w:color w:val="000000" w:themeColor="text1"/>
          <w:sz w:val="32"/>
          <w:szCs w:val="32"/>
          <w14:textFill>
            <w14:solidFill>
              <w14:schemeClr w14:val="tx1"/>
            </w14:solidFill>
          </w14:textFill>
        </w:rPr>
        <w:t>21</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《全国民用建筑工程设计技术措施（给水排水）</w:t>
      </w:r>
      <w:r>
        <w:rPr>
          <w:rFonts w:asciiTheme="minorEastAsia" w:hAnsiTheme="minorEastAsia" w:eastAsiaTheme="minorEastAsia" w:cstheme="minorEastAsia"/>
          <w:color w:val="000000" w:themeColor="text1"/>
          <w:sz w:val="32"/>
          <w:szCs w:val="32"/>
          <w14:textFill>
            <w14:solidFill>
              <w14:schemeClr w14:val="tx1"/>
            </w14:solidFill>
          </w14:textFill>
        </w:rPr>
        <w:t>2009</w:t>
      </w:r>
      <w:r>
        <w:rPr>
          <w:rFonts w:hint="eastAsia" w:asciiTheme="minorEastAsia" w:hAnsiTheme="minorEastAsia" w:eastAsiaTheme="minorEastAsia" w:cstheme="minorEastAsia"/>
          <w:color w:val="000000" w:themeColor="text1"/>
          <w:sz w:val="32"/>
          <w:szCs w:val="32"/>
          <w14:textFill>
            <w14:solidFill>
              <w14:schemeClr w14:val="tx1"/>
            </w14:solidFill>
          </w14:textFill>
        </w:rPr>
        <w:t>》</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《建筑给水排水设计手册第二版》</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《民用建筑节水设计标准》</w:t>
      </w:r>
      <w:r>
        <w:rPr>
          <w:rFonts w:asciiTheme="minorEastAsia" w:hAnsiTheme="minorEastAsia" w:eastAsiaTheme="minorEastAsia" w:cstheme="minorEastAsia"/>
          <w:color w:val="000000" w:themeColor="text1"/>
          <w:sz w:val="32"/>
          <w:szCs w:val="32"/>
          <w14:textFill>
            <w14:solidFill>
              <w14:schemeClr w14:val="tx1"/>
            </w14:solidFill>
          </w14:textFill>
        </w:rPr>
        <w:t xml:space="preserve"> GB50555-2010</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《建筑机电工程抗震设计规范》GB50981－2014　</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《中小学校设计规范》GB50099-2011</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国家相关的其他规范、规定</w:t>
      </w:r>
    </w:p>
    <w:p>
      <w:pPr>
        <w:ind w:right="-4" w:rightChars="-2"/>
        <w:outlineLvl w:val="1"/>
        <w:rPr>
          <w:rStyle w:val="39"/>
          <w:color w:val="000000" w:themeColor="text1"/>
          <w14:textFill>
            <w14:solidFill>
              <w14:schemeClr w14:val="tx1"/>
            </w14:solidFill>
          </w14:textFill>
        </w:rPr>
      </w:pPr>
      <w:bookmarkStart w:id="99" w:name="_Toc2601"/>
      <w:r>
        <w:rPr>
          <w:rStyle w:val="39"/>
          <w:rFonts w:hint="eastAsia"/>
          <w:color w:val="000000" w:themeColor="text1"/>
          <w14:textFill>
            <w14:solidFill>
              <w14:schemeClr w14:val="tx1"/>
            </w14:solidFill>
          </w14:textFill>
        </w:rPr>
        <w:t>8.2 工程概况</w:t>
      </w:r>
      <w:bookmarkEnd w:id="99"/>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建筑概况详建筑说明。本项目周边市政设施相对完善，本项目给排水管道可较为便捷的与其接驳。</w:t>
      </w:r>
    </w:p>
    <w:p>
      <w:pPr>
        <w:ind w:right="-4" w:rightChars="-2"/>
        <w:outlineLvl w:val="1"/>
        <w:rPr>
          <w:rStyle w:val="39"/>
          <w:color w:val="000000" w:themeColor="text1"/>
          <w14:textFill>
            <w14:solidFill>
              <w14:schemeClr w14:val="tx1"/>
            </w14:solidFill>
          </w14:textFill>
        </w:rPr>
      </w:pPr>
      <w:bookmarkStart w:id="100" w:name="_Toc20427"/>
      <w:r>
        <w:rPr>
          <w:rStyle w:val="39"/>
          <w:rFonts w:hint="eastAsia"/>
          <w:color w:val="000000" w:themeColor="text1"/>
          <w14:textFill>
            <w14:solidFill>
              <w14:schemeClr w14:val="tx1"/>
            </w14:solidFill>
          </w14:textFill>
        </w:rPr>
        <w:t>8.3 设计范围</w:t>
      </w:r>
      <w:bookmarkEnd w:id="100"/>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本工程红线以内室内外给水排水及消防系统。</w:t>
      </w:r>
    </w:p>
    <w:p>
      <w:pPr>
        <w:ind w:right="-4" w:rightChars="-2"/>
        <w:outlineLvl w:val="1"/>
        <w:rPr>
          <w:rStyle w:val="39"/>
          <w:color w:val="000000" w:themeColor="text1"/>
          <w14:textFill>
            <w14:solidFill>
              <w14:schemeClr w14:val="tx1"/>
            </w14:solidFill>
          </w14:textFill>
        </w:rPr>
      </w:pPr>
      <w:bookmarkStart w:id="101" w:name="_Toc408"/>
      <w:r>
        <w:rPr>
          <w:rStyle w:val="39"/>
          <w:rFonts w:hint="eastAsia"/>
          <w:color w:val="000000" w:themeColor="text1"/>
          <w14:textFill>
            <w14:solidFill>
              <w14:schemeClr w14:val="tx1"/>
            </w14:solidFill>
          </w14:textFill>
        </w:rPr>
        <w:t>8.4 给水工程</w:t>
      </w:r>
      <w:bookmarkEnd w:id="101"/>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（一）生活给水系统</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1.水源</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1.1.本项目生活用水水源利用城市管网的给水管，市政水压不低于0.35Mpa。绿化及道路浇洒等用水利用城市中水管网。</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1.2．由</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原校区</w:t>
      </w:r>
      <w:r>
        <w:rPr>
          <w:rFonts w:hint="eastAsia" w:asciiTheme="minorEastAsia" w:hAnsiTheme="minorEastAsia" w:eastAsiaTheme="minorEastAsia" w:cstheme="minorEastAsia"/>
          <w:color w:val="000000" w:themeColor="text1"/>
          <w:sz w:val="32"/>
          <w:szCs w:val="32"/>
          <w14:textFill>
            <w14:solidFill>
              <w14:schemeClr w14:val="tx1"/>
            </w14:solidFill>
          </w14:textFill>
        </w:rPr>
        <w:t>及</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西</w:t>
      </w:r>
      <w:r>
        <w:rPr>
          <w:rFonts w:hint="eastAsia" w:asciiTheme="minorEastAsia" w:hAnsiTheme="minorEastAsia" w:eastAsiaTheme="minorEastAsia" w:cstheme="minorEastAsia"/>
          <w:color w:val="000000" w:themeColor="text1"/>
          <w:sz w:val="32"/>
          <w:szCs w:val="32"/>
          <w14:textFill>
            <w14:solidFill>
              <w14:schemeClr w14:val="tx1"/>
            </w14:solidFill>
          </w14:textFill>
        </w:rPr>
        <w:t>门的市政道路各引入一根DN150给水管，管网于区内成环布置，供本工程消防和生活用水。</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2．项目用水量：项目生活用水量计算如下：</w:t>
      </w:r>
    </w:p>
    <w:tbl>
      <w:tblPr>
        <w:tblStyle w:val="2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100"/>
        <w:gridCol w:w="840"/>
        <w:gridCol w:w="640"/>
        <w:gridCol w:w="1000"/>
        <w:gridCol w:w="1100"/>
        <w:gridCol w:w="90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vMerge w:val="restart"/>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用水部位</w:t>
            </w:r>
          </w:p>
        </w:tc>
        <w:tc>
          <w:tcPr>
            <w:tcW w:w="1100" w:type="dxa"/>
            <w:vMerge w:val="restart"/>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用水标准</w:t>
            </w:r>
          </w:p>
        </w:tc>
        <w:tc>
          <w:tcPr>
            <w:tcW w:w="840" w:type="dxa"/>
            <w:vMerge w:val="restart"/>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单位</w:t>
            </w:r>
          </w:p>
        </w:tc>
        <w:tc>
          <w:tcPr>
            <w:tcW w:w="640" w:type="dxa"/>
            <w:vMerge w:val="restart"/>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数量</w:t>
            </w:r>
          </w:p>
        </w:tc>
        <w:tc>
          <w:tcPr>
            <w:tcW w:w="1000" w:type="dxa"/>
            <w:vMerge w:val="restart"/>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用水时间</w:t>
            </w:r>
          </w:p>
        </w:tc>
        <w:tc>
          <w:tcPr>
            <w:tcW w:w="1100" w:type="dxa"/>
            <w:vMerge w:val="restart"/>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变化系数</w:t>
            </w:r>
          </w:p>
        </w:tc>
        <w:tc>
          <w:tcPr>
            <w:tcW w:w="2700" w:type="dxa"/>
            <w:gridSpan w:val="3"/>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用水量(立方米)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vMerge w:val="continue"/>
          </w:tcPr>
          <w:p>
            <w:pPr>
              <w:jc w:val="left"/>
              <w:rPr>
                <w:color w:val="000000" w:themeColor="text1"/>
                <w14:textFill>
                  <w14:solidFill>
                    <w14:schemeClr w14:val="tx1"/>
                  </w14:solidFill>
                </w14:textFill>
              </w:rPr>
            </w:pPr>
          </w:p>
        </w:tc>
        <w:tc>
          <w:tcPr>
            <w:tcW w:w="1100" w:type="dxa"/>
            <w:vMerge w:val="continue"/>
          </w:tcPr>
          <w:p>
            <w:pPr>
              <w:jc w:val="left"/>
              <w:rPr>
                <w:color w:val="000000" w:themeColor="text1"/>
                <w14:textFill>
                  <w14:solidFill>
                    <w14:schemeClr w14:val="tx1"/>
                  </w14:solidFill>
                </w14:textFill>
              </w:rPr>
            </w:pPr>
          </w:p>
        </w:tc>
        <w:tc>
          <w:tcPr>
            <w:tcW w:w="840" w:type="dxa"/>
            <w:vMerge w:val="continue"/>
          </w:tcPr>
          <w:p>
            <w:pPr>
              <w:jc w:val="left"/>
              <w:rPr>
                <w:color w:val="000000" w:themeColor="text1"/>
                <w14:textFill>
                  <w14:solidFill>
                    <w14:schemeClr w14:val="tx1"/>
                  </w14:solidFill>
                </w14:textFill>
              </w:rPr>
            </w:pPr>
          </w:p>
        </w:tc>
        <w:tc>
          <w:tcPr>
            <w:tcW w:w="640" w:type="dxa"/>
            <w:vMerge w:val="continue"/>
          </w:tcPr>
          <w:p>
            <w:pPr>
              <w:jc w:val="left"/>
              <w:rPr>
                <w:color w:val="000000" w:themeColor="text1"/>
                <w14:textFill>
                  <w14:solidFill>
                    <w14:schemeClr w14:val="tx1"/>
                  </w14:solidFill>
                </w14:textFill>
              </w:rPr>
            </w:pPr>
          </w:p>
        </w:tc>
        <w:tc>
          <w:tcPr>
            <w:tcW w:w="1000" w:type="dxa"/>
            <w:vMerge w:val="continue"/>
          </w:tcPr>
          <w:p>
            <w:pPr>
              <w:jc w:val="left"/>
              <w:rPr>
                <w:color w:val="000000" w:themeColor="text1"/>
                <w14:textFill>
                  <w14:solidFill>
                    <w14:schemeClr w14:val="tx1"/>
                  </w14:solidFill>
                </w14:textFill>
              </w:rPr>
            </w:pPr>
          </w:p>
        </w:tc>
        <w:tc>
          <w:tcPr>
            <w:tcW w:w="1100" w:type="dxa"/>
            <w:vMerge w:val="continue"/>
          </w:tcPr>
          <w:p>
            <w:pPr>
              <w:jc w:val="left"/>
              <w:rPr>
                <w:color w:val="000000" w:themeColor="text1"/>
                <w14:textFill>
                  <w14:solidFill>
                    <w14:schemeClr w14:val="tx1"/>
                  </w14:solidFill>
                </w14:textFill>
              </w:rPr>
            </w:pPr>
          </w:p>
        </w:tc>
        <w:tc>
          <w:tcPr>
            <w:tcW w:w="900"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最大日</w:t>
            </w:r>
          </w:p>
        </w:tc>
        <w:tc>
          <w:tcPr>
            <w:tcW w:w="900"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最大时</w:t>
            </w:r>
          </w:p>
        </w:tc>
        <w:tc>
          <w:tcPr>
            <w:tcW w:w="900"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平均时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tcPr>
          <w:p>
            <w:pPr>
              <w:jc w:val="left"/>
              <w:rPr>
                <w:rFonts w:hint="default" w:eastAsia="宋体"/>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教学楼</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综合楼</w:t>
            </w:r>
          </w:p>
        </w:tc>
        <w:tc>
          <w:tcPr>
            <w:tcW w:w="1100"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50.00</w:t>
            </w:r>
          </w:p>
        </w:tc>
        <w:tc>
          <w:tcPr>
            <w:tcW w:w="840"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L/学生·d</w:t>
            </w:r>
          </w:p>
        </w:tc>
        <w:tc>
          <w:tcPr>
            <w:tcW w:w="640" w:type="dxa"/>
          </w:tcPr>
          <w:p>
            <w:pPr>
              <w:jc w:val="left"/>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1200</w:t>
            </w:r>
          </w:p>
        </w:tc>
        <w:tc>
          <w:tcPr>
            <w:tcW w:w="1000"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8.0</w:t>
            </w:r>
          </w:p>
        </w:tc>
        <w:tc>
          <w:tcPr>
            <w:tcW w:w="1100"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1.30</w:t>
            </w:r>
          </w:p>
        </w:tc>
        <w:tc>
          <w:tcPr>
            <w:tcW w:w="900" w:type="dxa"/>
          </w:tcPr>
          <w:p>
            <w:pPr>
              <w:jc w:val="left"/>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60</w:t>
            </w:r>
            <w:r>
              <w:rPr>
                <w:rFonts w:hint="eastAsia"/>
                <w:color w:val="000000" w:themeColor="text1"/>
                <w14:textFill>
                  <w14:solidFill>
                    <w14:schemeClr w14:val="tx1"/>
                  </w14:solidFill>
                </w14:textFill>
              </w:rPr>
              <w:t>.00</w:t>
            </w:r>
          </w:p>
        </w:tc>
        <w:tc>
          <w:tcPr>
            <w:tcW w:w="900" w:type="dxa"/>
          </w:tcPr>
          <w:p>
            <w:pPr>
              <w:jc w:val="left"/>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9.75</w:t>
            </w:r>
          </w:p>
        </w:tc>
        <w:tc>
          <w:tcPr>
            <w:tcW w:w="900" w:type="dxa"/>
          </w:tcPr>
          <w:p>
            <w:pPr>
              <w:jc w:val="left"/>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7</w:t>
            </w:r>
            <w:r>
              <w:rPr>
                <w:rFonts w:hint="eastAsia"/>
                <w:color w:val="000000" w:themeColor="text1"/>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tcPr>
          <w:p>
            <w:pPr>
              <w:jc w:val="left"/>
              <w:rPr>
                <w:rFonts w:hint="eastAsia" w:eastAsia="宋体"/>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体育馆</w:t>
            </w:r>
          </w:p>
        </w:tc>
        <w:tc>
          <w:tcPr>
            <w:tcW w:w="1100"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6.00</w:t>
            </w:r>
          </w:p>
        </w:tc>
        <w:tc>
          <w:tcPr>
            <w:tcW w:w="840"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L/平方米·d</w:t>
            </w:r>
          </w:p>
        </w:tc>
        <w:tc>
          <w:tcPr>
            <w:tcW w:w="640" w:type="dxa"/>
          </w:tcPr>
          <w:p>
            <w:pPr>
              <w:jc w:val="left"/>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1800</w:t>
            </w:r>
          </w:p>
        </w:tc>
        <w:tc>
          <w:tcPr>
            <w:tcW w:w="1000"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12.0</w:t>
            </w:r>
          </w:p>
        </w:tc>
        <w:tc>
          <w:tcPr>
            <w:tcW w:w="1100"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1.30</w:t>
            </w:r>
          </w:p>
        </w:tc>
        <w:tc>
          <w:tcPr>
            <w:tcW w:w="900" w:type="dxa"/>
          </w:tcPr>
          <w:p>
            <w:pPr>
              <w:jc w:val="left"/>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10.80</w:t>
            </w:r>
          </w:p>
        </w:tc>
        <w:tc>
          <w:tcPr>
            <w:tcW w:w="900" w:type="dxa"/>
          </w:tcPr>
          <w:p>
            <w:pPr>
              <w:jc w:val="left"/>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1.76</w:t>
            </w:r>
          </w:p>
        </w:tc>
        <w:tc>
          <w:tcPr>
            <w:tcW w:w="900" w:type="dxa"/>
          </w:tcPr>
          <w:p>
            <w:pPr>
              <w:jc w:val="left"/>
              <w:rPr>
                <w:rFonts w:hint="default" w:eastAsia="宋体"/>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1.</w:t>
            </w:r>
            <w:r>
              <w:rPr>
                <w:rFonts w:hint="eastAsia"/>
                <w:color w:val="000000" w:themeColor="text1"/>
                <w:lang w:val="en-US" w:eastAsia="zh-CN"/>
                <w14:textFill>
                  <w14:solidFill>
                    <w14:schemeClr w14:val="tx1"/>
                  </w14:solidFill>
                </w14:textFill>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食堂</w:t>
            </w:r>
          </w:p>
        </w:tc>
        <w:tc>
          <w:tcPr>
            <w:tcW w:w="1100"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25.00</w:t>
            </w:r>
          </w:p>
        </w:tc>
        <w:tc>
          <w:tcPr>
            <w:tcW w:w="840"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L/顾客·次</w:t>
            </w:r>
          </w:p>
        </w:tc>
        <w:tc>
          <w:tcPr>
            <w:tcW w:w="640" w:type="dxa"/>
          </w:tcPr>
          <w:p>
            <w:pPr>
              <w:jc w:val="left"/>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1200</w:t>
            </w:r>
          </w:p>
        </w:tc>
        <w:tc>
          <w:tcPr>
            <w:tcW w:w="1000"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12.0</w:t>
            </w:r>
          </w:p>
        </w:tc>
        <w:tc>
          <w:tcPr>
            <w:tcW w:w="1100"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1.30</w:t>
            </w:r>
          </w:p>
        </w:tc>
        <w:tc>
          <w:tcPr>
            <w:tcW w:w="900" w:type="dxa"/>
          </w:tcPr>
          <w:p>
            <w:pPr>
              <w:jc w:val="left"/>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30.</w:t>
            </w:r>
            <w:r>
              <w:rPr>
                <w:rFonts w:hint="eastAsia"/>
                <w:color w:val="000000" w:themeColor="text1"/>
                <w14:textFill>
                  <w14:solidFill>
                    <w14:schemeClr w14:val="tx1"/>
                  </w14:solidFill>
                </w14:textFill>
              </w:rPr>
              <w:t>00</w:t>
            </w:r>
          </w:p>
        </w:tc>
        <w:tc>
          <w:tcPr>
            <w:tcW w:w="900" w:type="dxa"/>
          </w:tcPr>
          <w:p>
            <w:pPr>
              <w:jc w:val="left"/>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4.88</w:t>
            </w:r>
          </w:p>
        </w:tc>
        <w:tc>
          <w:tcPr>
            <w:tcW w:w="900" w:type="dxa"/>
          </w:tcPr>
          <w:p>
            <w:pPr>
              <w:jc w:val="left"/>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未预见水</w:t>
            </w:r>
          </w:p>
        </w:tc>
        <w:tc>
          <w:tcPr>
            <w:tcW w:w="4680" w:type="dxa"/>
            <w:gridSpan w:val="5"/>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按本表以上项目的10%计</w:t>
            </w:r>
          </w:p>
        </w:tc>
        <w:tc>
          <w:tcPr>
            <w:tcW w:w="900" w:type="dxa"/>
          </w:tcPr>
          <w:p>
            <w:pPr>
              <w:jc w:val="left"/>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10.08</w:t>
            </w:r>
          </w:p>
        </w:tc>
        <w:tc>
          <w:tcPr>
            <w:tcW w:w="900" w:type="dxa"/>
          </w:tcPr>
          <w:p>
            <w:pPr>
              <w:jc w:val="left"/>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1.64</w:t>
            </w:r>
          </w:p>
        </w:tc>
        <w:tc>
          <w:tcPr>
            <w:tcW w:w="900" w:type="dxa"/>
          </w:tcPr>
          <w:p>
            <w:pPr>
              <w:jc w:val="left"/>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合计</w:t>
            </w:r>
          </w:p>
        </w:tc>
        <w:tc>
          <w:tcPr>
            <w:tcW w:w="4680" w:type="dxa"/>
            <w:gridSpan w:val="5"/>
          </w:tcPr>
          <w:p>
            <w:pPr>
              <w:jc w:val="left"/>
              <w:rPr>
                <w:color w:val="000000" w:themeColor="text1"/>
                <w14:textFill>
                  <w14:solidFill>
                    <w14:schemeClr w14:val="tx1"/>
                  </w14:solidFill>
                </w14:textFill>
              </w:rPr>
            </w:pPr>
          </w:p>
        </w:tc>
        <w:tc>
          <w:tcPr>
            <w:tcW w:w="900" w:type="dxa"/>
          </w:tcPr>
          <w:p>
            <w:pPr>
              <w:jc w:val="left"/>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110.88</w:t>
            </w:r>
          </w:p>
        </w:tc>
        <w:tc>
          <w:tcPr>
            <w:tcW w:w="900" w:type="dxa"/>
          </w:tcPr>
          <w:p>
            <w:pPr>
              <w:jc w:val="left"/>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18.03</w:t>
            </w:r>
          </w:p>
        </w:tc>
        <w:tc>
          <w:tcPr>
            <w:tcW w:w="900" w:type="dxa"/>
          </w:tcPr>
          <w:p>
            <w:pPr>
              <w:jc w:val="left"/>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13.86</w:t>
            </w:r>
          </w:p>
        </w:tc>
      </w:tr>
    </w:tbl>
    <w:p>
      <w:pPr>
        <w:jc w:val="left"/>
        <w:rPr>
          <w:color w:val="000000" w:themeColor="text1"/>
          <w:sz w:val="24"/>
          <w14:textFill>
            <w14:solidFill>
              <w14:schemeClr w14:val="tx1"/>
            </w14:solidFill>
          </w14:textFill>
        </w:rPr>
      </w:pP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3．项目用水蓄水及供水方式：本项目1~3层生活用水由市政水压供水，充分利用市政管网压力，3层以上由生活水箱联合给水加压泵加压供水，在水泵房设置两座容积为75m³的生活水箱。</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4．计量方式：引入管设置总水表计量，各个产权单位分别设置水表计量。</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（二）热水系统</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 食堂部分设置热水系统，采用集中太阳能辅助空气源热泵供热水系统。太阳能集热板和空气源热泵设置在屋面，热水供水温度为50～60度。</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 计量方式：仅设置冷水表计量。</w:t>
      </w:r>
    </w:p>
    <w:p>
      <w:pPr>
        <w:ind w:right="-4" w:rightChars="-2"/>
        <w:outlineLvl w:val="1"/>
        <w:rPr>
          <w:rStyle w:val="39"/>
          <w:color w:val="000000" w:themeColor="text1"/>
          <w14:textFill>
            <w14:solidFill>
              <w14:schemeClr w14:val="tx1"/>
            </w14:solidFill>
          </w14:textFill>
        </w:rPr>
      </w:pPr>
      <w:bookmarkStart w:id="102" w:name="_Toc23363"/>
      <w:r>
        <w:rPr>
          <w:rStyle w:val="39"/>
          <w:rFonts w:hint="eastAsia"/>
          <w:color w:val="000000" w:themeColor="text1"/>
          <w14:textFill>
            <w14:solidFill>
              <w14:schemeClr w14:val="tx1"/>
            </w14:solidFill>
          </w14:textFill>
        </w:rPr>
        <w:t>8.5 排水工程</w:t>
      </w:r>
      <w:bookmarkEnd w:id="102"/>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（一）污废水排水系统</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1．排水系统采用雨、污分流系统。</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2．主要排水设施情况及污水排向：污、废水经过化粪池处理后排至市政污水管网。</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3．污水排水量：本工程最高日生活污水量为</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142.77</w:t>
      </w:r>
      <w:r>
        <w:rPr>
          <w:rFonts w:hint="eastAsia" w:asciiTheme="minorEastAsia" w:hAnsiTheme="minorEastAsia" w:eastAsiaTheme="minorEastAsia" w:cstheme="minorEastAsia"/>
          <w:color w:val="000000" w:themeColor="text1"/>
          <w:sz w:val="32"/>
          <w:szCs w:val="32"/>
          <w14:textFill>
            <w14:solidFill>
              <w14:schemeClr w14:val="tx1"/>
            </w14:solidFill>
          </w14:textFill>
        </w:rPr>
        <w:t>m³/d。</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4．污水检查井采用塑料检查井，全部采用重型复合材料井盖。</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（二）雨水排水系统</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1．暴雨强度公式采用当地暴雨强度公式，场地设计重现期为5年；屋面及坡道排水设计按现期为50年复核。</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2．屋面雨水由87型雨水斗或侧墙式雨水斗收集，经雨水管道排至室外。</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3．地表水通过雨水口收集后接入雨水管道。在室外道路边适当位置设置平箅式雨水口，收集道路、人行道雨水。</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4．地下室雨水由截水沟收集汇至集水坑，由设置在集水坑内的潜水泵机械提升至室外雨水排水系统。</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5．雨水排放：本工程雨水进行有组织排放，雨水经过收集后排至市政雨水管网。本项目设置下凹绿地收集雨水，收集的雨水错峰调蓄排放或回用于中水系统。</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6．车库冲洗废水汇至车库内的集水坑，由设置在集水坑内的潜水泵机械提升至室外排水系统。</w:t>
      </w:r>
    </w:p>
    <w:p>
      <w:pPr>
        <w:ind w:firstLine="640" w:firstLineChars="200"/>
        <w:rPr>
          <w:color w:val="000000" w:themeColor="text1"/>
          <w:sz w:val="28"/>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7．排水检查井采用塑料检查井，全部采用重型复合材料井盖。</w:t>
      </w:r>
    </w:p>
    <w:p>
      <w:pPr>
        <w:ind w:right="-4" w:rightChars="-2"/>
        <w:outlineLvl w:val="1"/>
        <w:rPr>
          <w:rStyle w:val="39"/>
          <w:color w:val="000000" w:themeColor="text1"/>
          <w14:textFill>
            <w14:solidFill>
              <w14:schemeClr w14:val="tx1"/>
            </w14:solidFill>
          </w14:textFill>
        </w:rPr>
      </w:pPr>
      <w:bookmarkStart w:id="103" w:name="_Toc23415"/>
      <w:r>
        <w:rPr>
          <w:rStyle w:val="39"/>
          <w:rFonts w:hint="eastAsia"/>
          <w:color w:val="000000" w:themeColor="text1"/>
          <w14:textFill>
            <w14:solidFill>
              <w14:schemeClr w14:val="tx1"/>
            </w14:solidFill>
          </w14:textFill>
        </w:rPr>
        <w:t>8.6 消防系统</w:t>
      </w:r>
      <w:bookmarkEnd w:id="103"/>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1．消火栓系统</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1.1.室外消防用水量为30 L/S，室内消防用水量为25 L/S，火灾延续时间2小时；自动喷淋用水量为45L/S，火灾延续时间1小时。</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1.2．室外消火栓采用低压制给水系统，由市政道路上的城市给水管网上引入两根DN150供水管道在地块内成环状布置保证室外消火栓用水，市政水压不小于0.30MPa，市政管网供水最不利时仍可确保本项目室外消防用水。室外消防管道在小区内部沿消防道路成环状布置，沿消防道路均匀设置地上式室外消火栓，其间距不超过120m，距离道路边不大于2m，距离建筑物外墙不小于5m。</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1.3．沿</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小</w:t>
      </w:r>
      <w:r>
        <w:rPr>
          <w:rFonts w:hint="eastAsia" w:asciiTheme="minorEastAsia" w:hAnsiTheme="minorEastAsia" w:eastAsiaTheme="minorEastAsia" w:cstheme="minorEastAsia"/>
          <w:color w:val="000000" w:themeColor="text1"/>
          <w:sz w:val="32"/>
          <w:szCs w:val="32"/>
          <w14:textFill>
            <w14:solidFill>
              <w14:schemeClr w14:val="tx1"/>
            </w14:solidFill>
          </w14:textFill>
        </w:rPr>
        <w:t>区道路均匀布置室外消火栓，间距不超过120米，距离道路边不大于2m，距离建筑物外墙不小于5m。</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1.4．室内消防水源及消防用水量：本项目室内消防用水由消防水池水泵房及稳压设备保证，消防水池有效容积为</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32"/>
          <w:szCs w:val="32"/>
          <w14:textFill>
            <w14:solidFill>
              <w14:schemeClr w14:val="tx1"/>
            </w14:solidFill>
          </w14:textFill>
        </w:rPr>
        <w:t>42m³。</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1.5．室内采用临时高压制消火栓灭火系统。消火栓加压给水泵房及水池紧邻设置，共设两台加压水泵，一用一备。</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1.6．在最高栋建筑屋顶设有高位消防水箱，水箱有效容积为18m3，水箱材质为镀锌钢板，并设置增压稳压设备。</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2．自动喷水灭火系统</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2.1．设计参数：本工程按中危险级Ⅱ级设计，喷水强度8L/min·m2，作用面积160㎡，持续喷水时间：1h，最不利点喷头０.1MPa。系统设计用水量为：45L/S。</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2.2．本项目室内消防用水由消防水池水泵房及稳压设备保证，消防水池有效容积为342m³。</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2.3．自动喷水灭火系统平时由屋顶水箱设专用水管至报警阀前供水管，保证系统压力，发生火灾时由水泵从水池取水加压供水。</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3．气体灭火装置：</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变配电设备用房内设七氟丙烷柜式气体灭火装置。</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4．移动式灭火装置:</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在适当位置按《建筑灭火器配置设计规范》GB50140-2005要求，按AB类火灾设置手提式磷酸铵盐干粉灭火器，型号为MF/ABC3-A。灭火器的摆放应稳固，其铭牌应朝外。手提式灭火器设置于灭火器箱内，其底部离地面高度为0.2m，灭火器箱不得上锁。</w:t>
      </w:r>
    </w:p>
    <w:p>
      <w:pPr>
        <w:ind w:right="-4" w:rightChars="-2"/>
        <w:outlineLvl w:val="1"/>
        <w:rPr>
          <w:rFonts w:ascii="宋体" w:hAnsi="宋体"/>
          <w:color w:val="000000" w:themeColor="text1"/>
          <w14:textFill>
            <w14:solidFill>
              <w14:schemeClr w14:val="tx1"/>
            </w14:solidFill>
          </w14:textFill>
        </w:rPr>
      </w:pPr>
      <w:bookmarkStart w:id="104" w:name="_Toc25584"/>
      <w:r>
        <w:rPr>
          <w:rStyle w:val="39"/>
          <w:rFonts w:hint="eastAsia"/>
          <w:color w:val="000000" w:themeColor="text1"/>
          <w14:textFill>
            <w14:solidFill>
              <w14:schemeClr w14:val="tx1"/>
            </w14:solidFill>
          </w14:textFill>
        </w:rPr>
        <w:t>8.7 管材说明</w:t>
      </w:r>
      <w:bookmarkEnd w:id="104"/>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w:t>
      </w:r>
      <w:r>
        <w:rPr>
          <w:rFonts w:asciiTheme="minorEastAsia" w:hAnsiTheme="minorEastAsia" w:eastAsiaTheme="minorEastAsia" w:cstheme="minorEastAsia"/>
          <w:color w:val="000000" w:themeColor="text1"/>
          <w:sz w:val="32"/>
          <w:szCs w:val="32"/>
          <w14:textFill>
            <w14:solidFill>
              <w14:schemeClr w14:val="tx1"/>
            </w14:solidFill>
          </w14:textFill>
        </w:rPr>
        <w:t>生活给水管：</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1.1．</w:t>
      </w:r>
      <w:r>
        <w:rPr>
          <w:rFonts w:asciiTheme="minorEastAsia" w:hAnsiTheme="minorEastAsia" w:eastAsiaTheme="minorEastAsia" w:cstheme="minorEastAsia"/>
          <w:color w:val="000000" w:themeColor="text1"/>
          <w:sz w:val="32"/>
          <w:szCs w:val="32"/>
          <w14:textFill>
            <w14:solidFill>
              <w14:schemeClr w14:val="tx1"/>
            </w14:solidFill>
          </w14:textFill>
        </w:rPr>
        <w:t>室内生活给水管：DN≤50采用PP-R塑铝稳态复合管（符合标准CJ/T210-2005）,采用S4系列,采用专用热熔模头热熔连接,给水管公称压力1.0MPa；DN&gt;50</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采用</w:t>
      </w:r>
      <w:r>
        <w:rPr>
          <w:rFonts w:asciiTheme="minorEastAsia" w:hAnsiTheme="minorEastAsia" w:eastAsiaTheme="minorEastAsia" w:cstheme="minorEastAsia"/>
          <w:color w:val="000000" w:themeColor="text1"/>
          <w:sz w:val="32"/>
          <w:szCs w:val="32"/>
          <w14:textFill>
            <w14:solidFill>
              <w14:schemeClr w14:val="tx1"/>
            </w14:solidFill>
          </w14:textFill>
        </w:rPr>
        <w:t>PSP钢塑复合管（符合标准CJ/T183-2008），双热熔连接,公称压力2.0MPa。</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1.2．</w:t>
      </w:r>
      <w:r>
        <w:rPr>
          <w:rFonts w:asciiTheme="minorEastAsia" w:hAnsiTheme="minorEastAsia" w:eastAsiaTheme="minorEastAsia" w:cstheme="minorEastAsia"/>
          <w:color w:val="000000" w:themeColor="text1"/>
          <w:sz w:val="32"/>
          <w:szCs w:val="32"/>
          <w14:textFill>
            <w14:solidFill>
              <w14:schemeClr w14:val="tx1"/>
            </w14:solidFill>
          </w14:textFill>
        </w:rPr>
        <w:t>室外给水管：均采用钢丝网骨架聚乙烯复合管，热熔连接，生活给水管公称压力≥ 1.0MPa，管材产品严格执行中华人民共和国城镇建设行业标准《钢丝网骨架塑料（聚乙烯）复合管》CJ/T189-2004。</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1.3．生活热水给水干管及立管采用PSP钢塑复合管，公称压力2.0MPa，专用管件连接；生活热水给水支管采用PP-R塑铝稳态复合管（符合标准CJ/T210-2005）,采用S3.2系列,采用专用热熔模头热熔连接,公称压力2.0MPa。</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w:t>
      </w:r>
      <w:r>
        <w:rPr>
          <w:rFonts w:asciiTheme="minorEastAsia" w:hAnsiTheme="minorEastAsia" w:eastAsiaTheme="minorEastAsia" w:cstheme="minorEastAsia"/>
          <w:color w:val="000000" w:themeColor="text1"/>
          <w:sz w:val="32"/>
          <w:szCs w:val="32"/>
          <w14:textFill>
            <w14:solidFill>
              <w14:schemeClr w14:val="tx1"/>
            </w14:solidFill>
          </w14:textFill>
        </w:rPr>
        <w:t>排水管道：</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2.1．</w:t>
      </w:r>
      <w:r>
        <w:rPr>
          <w:rFonts w:asciiTheme="minorEastAsia" w:hAnsiTheme="minorEastAsia" w:eastAsiaTheme="minorEastAsia" w:cstheme="minorEastAsia"/>
          <w:color w:val="000000" w:themeColor="text1"/>
          <w:sz w:val="32"/>
          <w:szCs w:val="32"/>
          <w14:textFill>
            <w14:solidFill>
              <w14:schemeClr w14:val="tx1"/>
            </w14:solidFill>
          </w14:textFill>
        </w:rPr>
        <w:t>室外排水管：管径DN＜200mm，采用柔重型UPVC管；管径DN≥200mm，采用钢带增强PE螺旋波纹管，卡箍连接。</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2.2．</w:t>
      </w:r>
      <w:r>
        <w:rPr>
          <w:rFonts w:asciiTheme="minorEastAsia" w:hAnsiTheme="minorEastAsia" w:eastAsiaTheme="minorEastAsia" w:cstheme="minorEastAsia"/>
          <w:color w:val="000000" w:themeColor="text1"/>
          <w:sz w:val="32"/>
          <w:szCs w:val="32"/>
          <w14:textFill>
            <w14:solidFill>
              <w14:schemeClr w14:val="tx1"/>
            </w14:solidFill>
          </w14:textFill>
        </w:rPr>
        <w:t>室内排水管：采用UPVC管，承插式胶黏剂粘结。</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3．</w:t>
      </w:r>
      <w:r>
        <w:rPr>
          <w:rFonts w:asciiTheme="minorEastAsia" w:hAnsiTheme="minorEastAsia" w:eastAsiaTheme="minorEastAsia" w:cstheme="minorEastAsia"/>
          <w:color w:val="000000" w:themeColor="text1"/>
          <w:sz w:val="32"/>
          <w:szCs w:val="32"/>
          <w14:textFill>
            <w14:solidFill>
              <w14:schemeClr w14:val="tx1"/>
            </w14:solidFill>
          </w14:textFill>
        </w:rPr>
        <w:t>消防给水管道：</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3.1．</w:t>
      </w:r>
      <w:r>
        <w:rPr>
          <w:rFonts w:asciiTheme="minorEastAsia" w:hAnsiTheme="minorEastAsia" w:eastAsiaTheme="minorEastAsia" w:cstheme="minorEastAsia"/>
          <w:color w:val="000000" w:themeColor="text1"/>
          <w:sz w:val="32"/>
          <w:szCs w:val="32"/>
          <w14:textFill>
            <w14:solidFill>
              <w14:schemeClr w14:val="tx1"/>
            </w14:solidFill>
          </w14:textFill>
        </w:rPr>
        <w:t>室内</w:t>
      </w:r>
      <w:r>
        <w:rPr>
          <w:rFonts w:hint="eastAsia" w:asciiTheme="minorEastAsia" w:hAnsiTheme="minorEastAsia" w:eastAsiaTheme="minorEastAsia" w:cstheme="minorEastAsia"/>
          <w:color w:val="000000" w:themeColor="text1"/>
          <w:sz w:val="32"/>
          <w:szCs w:val="32"/>
          <w14:textFill>
            <w14:solidFill>
              <w14:schemeClr w14:val="tx1"/>
            </w14:solidFill>
          </w14:textFill>
        </w:rPr>
        <w:t>消防给水</w:t>
      </w:r>
      <w:r>
        <w:rPr>
          <w:rFonts w:asciiTheme="minorEastAsia" w:hAnsiTheme="minorEastAsia" w:eastAsiaTheme="minorEastAsia" w:cstheme="minorEastAsia"/>
          <w:color w:val="000000" w:themeColor="text1"/>
          <w:sz w:val="32"/>
          <w:szCs w:val="32"/>
          <w14:textFill>
            <w14:solidFill>
              <w14:schemeClr w14:val="tx1"/>
            </w14:solidFill>
          </w14:textFill>
        </w:rPr>
        <w:t>管道采用内外壁热浸镀锌钢管。管径＜DN</w:t>
      </w:r>
      <w:r>
        <w:rPr>
          <w:rFonts w:hint="eastAsia" w:asciiTheme="minorEastAsia" w:hAnsiTheme="minorEastAsia" w:eastAsiaTheme="minorEastAsia" w:cstheme="minorEastAsia"/>
          <w:color w:val="000000" w:themeColor="text1"/>
          <w:sz w:val="32"/>
          <w:szCs w:val="32"/>
          <w14:textFill>
            <w14:solidFill>
              <w14:schemeClr w14:val="tx1"/>
            </w14:solidFill>
          </w14:textFill>
        </w:rPr>
        <w:t>5</w:t>
      </w:r>
      <w:r>
        <w:rPr>
          <w:rFonts w:asciiTheme="minorEastAsia" w:hAnsiTheme="minorEastAsia" w:eastAsiaTheme="minorEastAsia" w:cstheme="minorEastAsia"/>
          <w:color w:val="000000" w:themeColor="text1"/>
          <w:sz w:val="32"/>
          <w:szCs w:val="32"/>
          <w14:textFill>
            <w14:solidFill>
              <w14:schemeClr w14:val="tx1"/>
            </w14:solidFill>
          </w14:textFill>
        </w:rPr>
        <w:t>0，丝扣连接；管径≥DN</w:t>
      </w:r>
      <w:r>
        <w:rPr>
          <w:rFonts w:hint="eastAsia" w:asciiTheme="minorEastAsia" w:hAnsiTheme="minorEastAsia" w:eastAsiaTheme="minorEastAsia" w:cstheme="minorEastAsia"/>
          <w:color w:val="000000" w:themeColor="text1"/>
          <w:sz w:val="32"/>
          <w:szCs w:val="32"/>
          <w14:textFill>
            <w14:solidFill>
              <w14:schemeClr w14:val="tx1"/>
            </w14:solidFill>
          </w14:textFill>
        </w:rPr>
        <w:t>5</w:t>
      </w:r>
      <w:r>
        <w:rPr>
          <w:rFonts w:asciiTheme="minorEastAsia" w:hAnsiTheme="minorEastAsia" w:eastAsiaTheme="minorEastAsia" w:cstheme="minorEastAsia"/>
          <w:color w:val="000000" w:themeColor="text1"/>
          <w:sz w:val="32"/>
          <w:szCs w:val="32"/>
          <w14:textFill>
            <w14:solidFill>
              <w14:schemeClr w14:val="tx1"/>
            </w14:solidFill>
          </w14:textFill>
        </w:rPr>
        <w:t>0，沟槽式管接头连接。阀门采用沟槽连接。</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3.2．</w:t>
      </w:r>
      <w:r>
        <w:rPr>
          <w:rFonts w:asciiTheme="minorEastAsia" w:hAnsiTheme="minorEastAsia" w:eastAsiaTheme="minorEastAsia" w:cstheme="minorEastAsia"/>
          <w:color w:val="000000" w:themeColor="text1"/>
          <w:sz w:val="32"/>
          <w:szCs w:val="32"/>
          <w14:textFill>
            <w14:solidFill>
              <w14:schemeClr w14:val="tx1"/>
            </w14:solidFill>
          </w14:textFill>
        </w:rPr>
        <w:t>室外</w:t>
      </w:r>
      <w:r>
        <w:rPr>
          <w:rFonts w:hint="eastAsia" w:asciiTheme="minorEastAsia" w:hAnsiTheme="minorEastAsia" w:eastAsiaTheme="minorEastAsia" w:cstheme="minorEastAsia"/>
          <w:color w:val="000000" w:themeColor="text1"/>
          <w:sz w:val="32"/>
          <w:szCs w:val="32"/>
          <w14:textFill>
            <w14:solidFill>
              <w14:schemeClr w14:val="tx1"/>
            </w14:solidFill>
          </w14:textFill>
        </w:rPr>
        <w:t>消防</w:t>
      </w:r>
      <w:r>
        <w:rPr>
          <w:rFonts w:asciiTheme="minorEastAsia" w:hAnsiTheme="minorEastAsia" w:eastAsiaTheme="minorEastAsia" w:cstheme="minorEastAsia"/>
          <w:color w:val="000000" w:themeColor="text1"/>
          <w:sz w:val="32"/>
          <w:szCs w:val="32"/>
          <w14:textFill>
            <w14:solidFill>
              <w14:schemeClr w14:val="tx1"/>
            </w14:solidFill>
          </w14:textFill>
        </w:rPr>
        <w:t>给水管：均采用钢丝网骨架聚乙烯复合管，热熔连接，室外</w:t>
      </w:r>
      <w:r>
        <w:rPr>
          <w:rFonts w:hint="eastAsia" w:asciiTheme="minorEastAsia" w:hAnsiTheme="minorEastAsia" w:eastAsiaTheme="minorEastAsia" w:cstheme="minorEastAsia"/>
          <w:color w:val="000000" w:themeColor="text1"/>
          <w:sz w:val="32"/>
          <w:szCs w:val="32"/>
          <w14:textFill>
            <w14:solidFill>
              <w14:schemeClr w14:val="tx1"/>
            </w14:solidFill>
          </w14:textFill>
        </w:rPr>
        <w:t>消防</w:t>
      </w:r>
      <w:r>
        <w:rPr>
          <w:rFonts w:asciiTheme="minorEastAsia" w:hAnsiTheme="minorEastAsia" w:eastAsiaTheme="minorEastAsia" w:cstheme="minorEastAsia"/>
          <w:color w:val="000000" w:themeColor="text1"/>
          <w:sz w:val="32"/>
          <w:szCs w:val="32"/>
          <w14:textFill>
            <w14:solidFill>
              <w14:schemeClr w14:val="tx1"/>
            </w14:solidFill>
          </w14:textFill>
        </w:rPr>
        <w:t>系统供水管公称压力≥ 1.0MPa，管材产品严格执行中华人民共和国城镇建设行业标准《钢丝网骨架塑料（聚乙烯）复合管》CJ/T189-2004。</w:t>
      </w:r>
    </w:p>
    <w:p>
      <w:pPr>
        <w:ind w:right="-4" w:rightChars="-2"/>
        <w:outlineLvl w:val="1"/>
        <w:rPr>
          <w:rStyle w:val="39"/>
          <w:color w:val="000000" w:themeColor="text1"/>
          <w14:textFill>
            <w14:solidFill>
              <w14:schemeClr w14:val="tx1"/>
            </w14:solidFill>
          </w14:textFill>
        </w:rPr>
      </w:pPr>
      <w:bookmarkStart w:id="105" w:name="_Toc23869"/>
      <w:r>
        <w:rPr>
          <w:rStyle w:val="39"/>
          <w:rFonts w:hint="eastAsia"/>
          <w:color w:val="000000" w:themeColor="text1"/>
          <w14:textFill>
            <w14:solidFill>
              <w14:schemeClr w14:val="tx1"/>
            </w14:solidFill>
          </w14:textFill>
        </w:rPr>
        <w:t>8.8 节水、节能减排措施</w:t>
      </w:r>
      <w:bookmarkEnd w:id="105"/>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1）节能措施</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1&gt;1~3层生活用水由市政水压供水，充分利用市政管网压力，不设加压供水设施减少电能的消耗，3层以上采用生活水箱联合变频泵供水。</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2&gt;设计选用的设备器材应为全新节能合格产品，施工方在购买及使用前应对产品质量认真检查，并经监理工程师确认合格后方可应用于工程中。</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2）节水措施</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1&gt;选用节水型卫生洁具及配件。</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2&gt;采用计量收费</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3&gt;绿化用水采用微喷滴灌方式浇洒，并设置单独用水计量装置。</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4&gt;水池、水箱溢流水位均设报警装置，防止进水管阀门故障时，水池、水箱长时间溢流排水。</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 xml:space="preserve">3）环保措施 </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1&gt;水泵泵组基础采用隔振基础。</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2&gt;水泵进水管、出水管设置可曲挠橡胶接头，减少噪音及振动传递。</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3&gt;水泵出水管止回阀采用静音式止回阀，减少噪音和防止水锤。</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5&gt;在市政引入管的总水表后安装倒流防污阀，以防止倒流污染。</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 xml:space="preserve">4）卫生防疫措施  </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1&gt;室内污水排水管道系统设置专用通气管，改善排水水力条件和卫生间的空气卫生条件。</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2&gt;室内所用排水地漏的水封高度不小于50mm，并设存水弯。保证卫生间的空气卫生条件。</w:t>
      </w:r>
    </w:p>
    <w:p>
      <w:pPr>
        <w:ind w:right="-4" w:rightChars="-2"/>
        <w:outlineLvl w:val="1"/>
        <w:rPr>
          <w:rStyle w:val="39"/>
          <w:color w:val="000000" w:themeColor="text1"/>
          <w14:textFill>
            <w14:solidFill>
              <w14:schemeClr w14:val="tx1"/>
            </w14:solidFill>
          </w14:textFill>
        </w:rPr>
      </w:pPr>
      <w:bookmarkStart w:id="106" w:name="_Toc28510"/>
      <w:r>
        <w:rPr>
          <w:rStyle w:val="39"/>
          <w:rFonts w:hint="eastAsia"/>
          <w:color w:val="000000" w:themeColor="text1"/>
          <w14:textFill>
            <w14:solidFill>
              <w14:schemeClr w14:val="tx1"/>
            </w14:solidFill>
          </w14:textFill>
        </w:rPr>
        <w:t>8.9 机电管线及设备抗振</w:t>
      </w:r>
      <w:bookmarkEnd w:id="106"/>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1、机电管线抗震支撑系统</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1）依据《建筑抗震设计规范》GB50011-2010 第3.7.1条：“非结构构件，包括建筑非结构构件和建筑附属机电设备自身及其与主体的连接，应进行抗震设计。”</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2）本工程DN65及以上管径的给排水、消防、喷淋等管道系统须采用机电管线抗震支撑系统。</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3）刚性管道侧向抗震支撑最大设计间距不得超过12m；柔性管道侧向抗震支撑最大设计间距不得超过6m。</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4）刚性管道纵向抗震支撑最大设计间距不得超过24m；柔性管道纵向抗震支撑最大设计间距不得超过12m。</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5）抗震支撑最终间距应根据具体深化设计及现场实际情况综合确定，系统由专业单位优化设计方案并报设计院审核。</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2、机电设备抗震支撑系统</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1）已设防震基础的机器设备，如水泵等，需设置限位器，以防止机器设备地震时产生过量的移动，甚至倾覆而扭坏管道。</w:t>
      </w:r>
    </w:p>
    <w:p>
      <w:pPr>
        <w:ind w:firstLine="640" w:firstLineChars="200"/>
        <w:rPr>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2）未设防震基础的机器设备，如水箱等必须与主体结构连接牢固，以防止地震时机器设备在地面上滑动或倾覆，破坏其使用功能或扭坏其连接管道。</w:t>
      </w:r>
    </w:p>
    <w:p>
      <w:pPr>
        <w:pStyle w:val="2"/>
        <w:jc w:val="center"/>
        <w:rPr>
          <w:rFonts w:hint="eastAsia"/>
          <w:color w:val="000000" w:themeColor="text1"/>
          <w14:textFill>
            <w14:solidFill>
              <w14:schemeClr w14:val="tx1"/>
            </w14:solidFill>
          </w14:textFill>
        </w:rPr>
      </w:pPr>
    </w:p>
    <w:p>
      <w:pPr>
        <w:pStyle w:val="2"/>
        <w:jc w:val="center"/>
        <w:rPr>
          <w:rFonts w:hint="eastAsia"/>
          <w:color w:val="000000" w:themeColor="text1"/>
          <w14:textFill>
            <w14:solidFill>
              <w14:schemeClr w14:val="tx1"/>
            </w14:solidFill>
          </w14:textFill>
        </w:rPr>
      </w:pPr>
    </w:p>
    <w:p>
      <w:pPr>
        <w:pStyle w:val="2"/>
        <w:jc w:val="center"/>
        <w:rPr>
          <w:color w:val="000000" w:themeColor="text1"/>
          <w14:textFill>
            <w14:solidFill>
              <w14:schemeClr w14:val="tx1"/>
            </w14:solidFill>
          </w14:textFill>
        </w:rPr>
      </w:pPr>
      <w:bookmarkStart w:id="107" w:name="_Toc23634"/>
      <w:r>
        <w:rPr>
          <w:rFonts w:hint="eastAsia"/>
          <w:color w:val="000000" w:themeColor="text1"/>
          <w14:textFill>
            <w14:solidFill>
              <w14:schemeClr w14:val="tx1"/>
            </w14:solidFill>
          </w14:textFill>
        </w:rPr>
        <w:t>第九章  电气设计</w:t>
      </w:r>
      <w:bookmarkEnd w:id="107"/>
    </w:p>
    <w:p>
      <w:pPr>
        <w:pStyle w:val="2"/>
        <w:rPr>
          <w:color w:val="000000" w:themeColor="text1"/>
          <w:sz w:val="32"/>
          <w:szCs w:val="32"/>
          <w14:textFill>
            <w14:solidFill>
              <w14:schemeClr w14:val="tx1"/>
            </w14:solidFill>
          </w14:textFill>
        </w:rPr>
      </w:pPr>
      <w:bookmarkStart w:id="108" w:name="_Toc4899"/>
      <w:bookmarkStart w:id="109" w:name="_Toc62208857"/>
      <w:bookmarkStart w:id="110" w:name="_Toc39918059"/>
      <w:r>
        <w:rPr>
          <w:rFonts w:hint="eastAsia"/>
          <w:color w:val="000000" w:themeColor="text1"/>
          <w:sz w:val="32"/>
          <w:szCs w:val="32"/>
          <w14:textFill>
            <w14:solidFill>
              <w14:schemeClr w14:val="tx1"/>
            </w14:solidFill>
          </w14:textFill>
        </w:rPr>
        <w:t>一、工程概况</w:t>
      </w:r>
      <w:bookmarkEnd w:id="108"/>
      <w:bookmarkEnd w:id="109"/>
      <w:bookmarkEnd w:id="110"/>
    </w:p>
    <w:p>
      <w:pPr>
        <w:pStyle w:val="2"/>
        <w:rPr>
          <w:rFonts w:hint="eastAsia" w:ascii="Times New Roman" w:hAnsi="Times New Roman" w:eastAsia="宋体" w:cs="宋体"/>
          <w:b w:val="0"/>
          <w:bCs w:val="0"/>
          <w:color w:val="000000" w:themeColor="text1"/>
          <w:kern w:val="0"/>
          <w:sz w:val="32"/>
          <w:szCs w:val="32"/>
          <w:lang w:val="en-US" w:eastAsia="zh-CN" w:bidi="ar-SA"/>
          <w14:textFill>
            <w14:solidFill>
              <w14:schemeClr w14:val="tx1"/>
            </w14:solidFill>
          </w14:textFill>
        </w:rPr>
      </w:pPr>
      <w:bookmarkStart w:id="111" w:name="_Toc32408"/>
      <w:bookmarkStart w:id="112" w:name="_Toc62208858"/>
      <w:bookmarkStart w:id="113" w:name="_Toc39918060"/>
      <w:r>
        <w:rPr>
          <w:rFonts w:hint="eastAsia" w:ascii="Times New Roman" w:hAnsi="Times New Roman" w:eastAsia="宋体" w:cs="宋体"/>
          <w:b w:val="0"/>
          <w:bCs w:val="0"/>
          <w:color w:val="000000" w:themeColor="text1"/>
          <w:kern w:val="0"/>
          <w:sz w:val="32"/>
          <w:szCs w:val="32"/>
          <w:lang w:val="en-US" w:eastAsia="zh-CN" w:bidi="ar-SA"/>
          <w14:textFill>
            <w14:solidFill>
              <w14:schemeClr w14:val="tx1"/>
            </w14:solidFill>
          </w14:textFill>
        </w:rPr>
        <w:t>本项目位于弥城中学西南方向，原粮食局和烟草公司用地。用地面积为31147.66㎡（46.72亩），总建筑面积为18550㎡。</w:t>
      </w:r>
      <w:bookmarkEnd w:id="111"/>
    </w:p>
    <w:p>
      <w:pPr>
        <w:pStyle w:val="2"/>
        <w:rPr>
          <w:color w:val="000000" w:themeColor="text1"/>
          <w:sz w:val="32"/>
          <w:szCs w:val="32"/>
          <w14:textFill>
            <w14:solidFill>
              <w14:schemeClr w14:val="tx1"/>
            </w14:solidFill>
          </w14:textFill>
        </w:rPr>
      </w:pPr>
      <w:bookmarkStart w:id="114" w:name="_Toc12722"/>
      <w:r>
        <w:rPr>
          <w:rFonts w:hint="eastAsia"/>
          <w:color w:val="000000" w:themeColor="text1"/>
          <w:sz w:val="32"/>
          <w:szCs w:val="32"/>
          <w14:textFill>
            <w14:solidFill>
              <w14:schemeClr w14:val="tx1"/>
            </w14:solidFill>
          </w14:textFill>
        </w:rPr>
        <w:t>二、设计依据</w:t>
      </w:r>
      <w:bookmarkEnd w:id="112"/>
      <w:bookmarkEnd w:id="113"/>
      <w:bookmarkEnd w:id="114"/>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1、建筑专业提供的建筑总平面图，各单体建筑的建筑图；</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2、参加本项目设计的各有关专业提供的设计条件及相关资料；</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3、建筑电气专业有关的设计规范及标准；</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《低压配电设计规范》GB50054-2011</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《建筑照明设计标准》GB50034-2013</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《民用建筑电气设计标准》GB51348-2019</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《建筑设计防火规范》GB50016-2014（2018版）</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《建筑物防雷设计规范》GB50057-2010</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w:t>
      </w:r>
      <w:r>
        <w:rPr>
          <w:rFonts w:cs="宋体"/>
          <w:color w:val="000000" w:themeColor="text1"/>
          <w:kern w:val="0"/>
          <w:sz w:val="32"/>
          <w:szCs w:val="32"/>
          <w14:textFill>
            <w14:solidFill>
              <w14:schemeClr w14:val="tx1"/>
            </w14:solidFill>
          </w14:textFill>
        </w:rPr>
        <w:t>饮食建筑设计标准</w:t>
      </w:r>
      <w:r>
        <w:rPr>
          <w:rFonts w:hint="eastAsia" w:cs="宋体"/>
          <w:color w:val="000000" w:themeColor="text1"/>
          <w:kern w:val="0"/>
          <w:sz w:val="32"/>
          <w:szCs w:val="32"/>
          <w14:textFill>
            <w14:solidFill>
              <w14:schemeClr w14:val="tx1"/>
            </w14:solidFill>
          </w14:textFill>
        </w:rPr>
        <w:t>》JGJ64-2017</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w:t>
      </w:r>
      <w:r>
        <w:rPr>
          <w:rFonts w:cs="宋体"/>
          <w:color w:val="000000" w:themeColor="text1"/>
          <w:kern w:val="0"/>
          <w:sz w:val="32"/>
          <w:szCs w:val="32"/>
          <w14:textFill>
            <w14:solidFill>
              <w14:schemeClr w14:val="tx1"/>
            </w14:solidFill>
          </w14:textFill>
        </w:rPr>
        <w:t>办公建筑设计标准</w:t>
      </w:r>
      <w:r>
        <w:rPr>
          <w:rFonts w:hint="eastAsia" w:cs="宋体"/>
          <w:color w:val="000000" w:themeColor="text1"/>
          <w:kern w:val="0"/>
          <w:sz w:val="32"/>
          <w:szCs w:val="32"/>
          <w14:textFill>
            <w14:solidFill>
              <w14:schemeClr w14:val="tx1"/>
            </w14:solidFill>
          </w14:textFill>
        </w:rPr>
        <w:t>》JGJ67-2019</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w:t>
      </w:r>
      <w:r>
        <w:rPr>
          <w:rFonts w:cs="宋体"/>
          <w:color w:val="000000" w:themeColor="text1"/>
          <w:kern w:val="0"/>
          <w:sz w:val="32"/>
          <w:szCs w:val="32"/>
          <w14:textFill>
            <w14:solidFill>
              <w14:schemeClr w14:val="tx1"/>
            </w14:solidFill>
          </w14:textFill>
        </w:rPr>
        <w:t>科研建筑设计标准</w:t>
      </w:r>
      <w:r>
        <w:rPr>
          <w:rFonts w:hint="eastAsia" w:cs="宋体"/>
          <w:color w:val="000000" w:themeColor="text1"/>
          <w:kern w:val="0"/>
          <w:sz w:val="32"/>
          <w:szCs w:val="32"/>
          <w14:textFill>
            <w14:solidFill>
              <w14:schemeClr w14:val="tx1"/>
            </w14:solidFill>
          </w14:textFill>
        </w:rPr>
        <w:t>》JGJ91-2019</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w:t>
      </w:r>
      <w:r>
        <w:rPr>
          <w:rFonts w:cs="宋体"/>
          <w:color w:val="000000" w:themeColor="text1"/>
          <w:kern w:val="0"/>
          <w:sz w:val="32"/>
          <w:szCs w:val="32"/>
          <w14:textFill>
            <w14:solidFill>
              <w14:schemeClr w14:val="tx1"/>
            </w14:solidFill>
          </w14:textFill>
        </w:rPr>
        <w:t>教育建筑电气设计规范</w:t>
      </w:r>
      <w:r>
        <w:rPr>
          <w:rFonts w:hint="eastAsia" w:cs="宋体"/>
          <w:color w:val="000000" w:themeColor="text1"/>
          <w:kern w:val="0"/>
          <w:sz w:val="32"/>
          <w:szCs w:val="32"/>
          <w14:textFill>
            <w14:solidFill>
              <w14:schemeClr w14:val="tx1"/>
            </w14:solidFill>
          </w14:textFill>
        </w:rPr>
        <w:t>》JGJ310-2013</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w:t>
      </w:r>
      <w:r>
        <w:rPr>
          <w:rFonts w:cs="宋体"/>
          <w:color w:val="000000" w:themeColor="text1"/>
          <w:kern w:val="0"/>
          <w:sz w:val="32"/>
          <w:szCs w:val="32"/>
          <w14:textFill>
            <w14:solidFill>
              <w14:schemeClr w14:val="tx1"/>
            </w14:solidFill>
          </w14:textFill>
        </w:rPr>
        <w:t>电动汽车分散充电设施工程技术标准</w:t>
      </w:r>
      <w:r>
        <w:rPr>
          <w:rFonts w:hint="eastAsia" w:cs="宋体"/>
          <w:color w:val="000000" w:themeColor="text1"/>
          <w:kern w:val="0"/>
          <w:sz w:val="32"/>
          <w:szCs w:val="32"/>
          <w14:textFill>
            <w14:solidFill>
              <w14:schemeClr w14:val="tx1"/>
            </w14:solidFill>
          </w14:textFill>
        </w:rPr>
        <w:t>》GB51313-2018</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《汽车库、修车库、停车场设计防火规范》GB50067-2014</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《火灾自动报警系统设计规范》GB50116-2013</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《商店建筑设计规范》JGJ48-2014</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《云南省民用建筑节能设计标准》DBJ53/T-39-2020</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全国民用建筑工程设计技术措施--电气 2009版</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建设单位提供的批准文件资料及要求</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土建专业提供的建筑平、立、剖面</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1.4同类工程建设实施的现状；</w:t>
      </w:r>
    </w:p>
    <w:p>
      <w:pPr>
        <w:pStyle w:val="2"/>
        <w:rPr>
          <w:color w:val="000000" w:themeColor="text1"/>
          <w:sz w:val="32"/>
          <w:szCs w:val="32"/>
          <w14:textFill>
            <w14:solidFill>
              <w14:schemeClr w14:val="tx1"/>
            </w14:solidFill>
          </w14:textFill>
        </w:rPr>
      </w:pPr>
      <w:bookmarkStart w:id="115" w:name="_Toc39918061"/>
      <w:bookmarkStart w:id="116" w:name="_Toc62208859"/>
      <w:bookmarkStart w:id="117" w:name="_Toc2151"/>
      <w:r>
        <w:rPr>
          <w:rFonts w:hint="eastAsia"/>
          <w:color w:val="000000" w:themeColor="text1"/>
          <w:sz w:val="32"/>
          <w:szCs w:val="32"/>
          <w14:textFill>
            <w14:solidFill>
              <w14:schemeClr w14:val="tx1"/>
            </w14:solidFill>
          </w14:textFill>
        </w:rPr>
        <w:t>三、供配电设计</w:t>
      </w:r>
      <w:bookmarkEnd w:id="115"/>
      <w:bookmarkEnd w:id="116"/>
      <w:bookmarkEnd w:id="117"/>
    </w:p>
    <w:p>
      <w:pPr>
        <w:ind w:firstLine="643" w:firstLineChars="200"/>
        <w:rPr>
          <w:rFonts w:cs="宋体"/>
          <w:color w:val="000000" w:themeColor="text1"/>
          <w:kern w:val="0"/>
          <w:sz w:val="32"/>
          <w:szCs w:val="32"/>
          <w14:textFill>
            <w14:solidFill>
              <w14:schemeClr w14:val="tx1"/>
            </w14:solidFill>
          </w14:textFill>
        </w:rPr>
      </w:pPr>
      <w:r>
        <w:rPr>
          <w:rFonts w:hint="eastAsia" w:cs="宋体"/>
          <w:b/>
          <w:color w:val="000000" w:themeColor="text1"/>
          <w:kern w:val="0"/>
          <w:sz w:val="32"/>
          <w:szCs w:val="32"/>
          <w14:textFill>
            <w14:solidFill>
              <w14:schemeClr w14:val="tx1"/>
            </w14:solidFill>
          </w14:textFill>
        </w:rPr>
        <w:t>3.1. 设计范围</w:t>
      </w:r>
      <w:r>
        <w:rPr>
          <w:rFonts w:hint="eastAsia" w:cs="宋体"/>
          <w:color w:val="000000" w:themeColor="text1"/>
          <w:kern w:val="0"/>
          <w:sz w:val="32"/>
          <w:szCs w:val="32"/>
          <w14:textFill>
            <w14:solidFill>
              <w14:schemeClr w14:val="tx1"/>
            </w14:solidFill>
          </w14:textFill>
        </w:rPr>
        <w:t>：地块内10/0.4KV变、配电系统、电力系统、照明系统、防雷保护安全措施及接地系统。</w:t>
      </w:r>
    </w:p>
    <w:p>
      <w:pPr>
        <w:ind w:firstLine="643" w:firstLineChars="200"/>
        <w:rPr>
          <w:rFonts w:cs="宋体"/>
          <w:b/>
          <w:color w:val="000000" w:themeColor="text1"/>
          <w:kern w:val="0"/>
          <w:sz w:val="32"/>
          <w:szCs w:val="32"/>
          <w14:textFill>
            <w14:solidFill>
              <w14:schemeClr w14:val="tx1"/>
            </w14:solidFill>
          </w14:textFill>
        </w:rPr>
      </w:pPr>
      <w:r>
        <w:rPr>
          <w:rFonts w:hint="eastAsia" w:cs="宋体"/>
          <w:b/>
          <w:color w:val="000000" w:themeColor="text1"/>
          <w:kern w:val="0"/>
          <w:sz w:val="32"/>
          <w:szCs w:val="32"/>
          <w14:textFill>
            <w14:solidFill>
              <w14:schemeClr w14:val="tx1"/>
            </w14:solidFill>
          </w14:textFill>
        </w:rPr>
        <w:t>3.2. 负荷等级</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1.二级负荷：消防设备（消防控制室、消防水泵、排烟风机等），应急疏散照明，保安监控系统电源。</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2 三级负荷：普通照明系统。</w:t>
      </w:r>
    </w:p>
    <w:p>
      <w:pPr>
        <w:ind w:firstLine="643" w:firstLineChars="200"/>
        <w:rPr>
          <w:rFonts w:cs="宋体"/>
          <w:b/>
          <w:color w:val="000000" w:themeColor="text1"/>
          <w:kern w:val="0"/>
          <w:sz w:val="32"/>
          <w:szCs w:val="32"/>
          <w14:textFill>
            <w14:solidFill>
              <w14:schemeClr w14:val="tx1"/>
            </w14:solidFill>
          </w14:textFill>
        </w:rPr>
      </w:pPr>
      <w:r>
        <w:rPr>
          <w:rFonts w:hint="eastAsia" w:cs="宋体"/>
          <w:b/>
          <w:color w:val="000000" w:themeColor="text1"/>
          <w:kern w:val="0"/>
          <w:sz w:val="32"/>
          <w:szCs w:val="32"/>
          <w14:textFill>
            <w14:solidFill>
              <w14:schemeClr w14:val="tx1"/>
            </w14:solidFill>
          </w14:textFill>
        </w:rPr>
        <w:t>3.3. 负荷计算及变压器选择</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表1：负荷指标</w:t>
      </w:r>
    </w:p>
    <w:tbl>
      <w:tblPr>
        <w:tblStyle w:val="2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30"/>
        <w:gridCol w:w="6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0" w:type="dxa"/>
            <w:shd w:val="clear" w:color="auto" w:fill="D9D9D9"/>
            <w:vAlign w:val="center"/>
          </w:tcPr>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供电区域</w:t>
            </w:r>
          </w:p>
        </w:tc>
        <w:tc>
          <w:tcPr>
            <w:tcW w:w="6054" w:type="dxa"/>
            <w:shd w:val="clear" w:color="auto" w:fill="D9D9D9"/>
            <w:vAlign w:val="center"/>
          </w:tcPr>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负荷指标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3030" w:type="dxa"/>
            <w:vAlign w:val="center"/>
          </w:tcPr>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教学楼</w:t>
            </w:r>
          </w:p>
        </w:tc>
        <w:tc>
          <w:tcPr>
            <w:tcW w:w="6054" w:type="dxa"/>
            <w:vAlign w:val="center"/>
          </w:tcPr>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25W/平方米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3030" w:type="dxa"/>
            <w:vAlign w:val="center"/>
          </w:tcPr>
          <w:p>
            <w:pPr>
              <w:ind w:firstLine="640" w:firstLineChars="200"/>
              <w:rPr>
                <w:rFonts w:hint="eastAsia" w:eastAsia="宋体" w:cs="宋体"/>
                <w:color w:val="000000" w:themeColor="text1"/>
                <w:kern w:val="0"/>
                <w:sz w:val="32"/>
                <w:szCs w:val="32"/>
                <w:lang w:eastAsia="zh-CN"/>
                <w14:textFill>
                  <w14:solidFill>
                    <w14:schemeClr w14:val="tx1"/>
                  </w14:solidFill>
                </w14:textFill>
              </w:rPr>
            </w:pPr>
            <w:r>
              <w:rPr>
                <w:rFonts w:hint="eastAsia" w:cs="宋体"/>
                <w:color w:val="000000" w:themeColor="text1"/>
                <w:kern w:val="0"/>
                <w:sz w:val="32"/>
                <w:szCs w:val="32"/>
                <w:lang w:val="en-US" w:eastAsia="zh-CN"/>
                <w14:textFill>
                  <w14:solidFill>
                    <w14:schemeClr w14:val="tx1"/>
                  </w14:solidFill>
                </w14:textFill>
              </w:rPr>
              <w:t>体育馆</w:t>
            </w:r>
          </w:p>
        </w:tc>
        <w:tc>
          <w:tcPr>
            <w:tcW w:w="6054" w:type="dxa"/>
            <w:vAlign w:val="center"/>
          </w:tcPr>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lang w:val="en-US" w:eastAsia="zh-CN"/>
                <w14:textFill>
                  <w14:solidFill>
                    <w14:schemeClr w14:val="tx1"/>
                  </w14:solidFill>
                </w14:textFill>
              </w:rPr>
              <w:t>4</w:t>
            </w:r>
            <w:r>
              <w:rPr>
                <w:rFonts w:hint="eastAsia" w:cs="宋体"/>
                <w:color w:val="000000" w:themeColor="text1"/>
                <w:kern w:val="0"/>
                <w:sz w:val="32"/>
                <w:szCs w:val="32"/>
                <w14:textFill>
                  <w14:solidFill>
                    <w14:schemeClr w14:val="tx1"/>
                  </w14:solidFill>
                </w14:textFill>
              </w:rPr>
              <w:t>0W/平方米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3030" w:type="dxa"/>
            <w:vAlign w:val="center"/>
          </w:tcPr>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综合楼</w:t>
            </w:r>
          </w:p>
        </w:tc>
        <w:tc>
          <w:tcPr>
            <w:tcW w:w="6054" w:type="dxa"/>
            <w:vAlign w:val="center"/>
          </w:tcPr>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30W/平方米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3030" w:type="dxa"/>
            <w:vAlign w:val="center"/>
          </w:tcPr>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食堂</w:t>
            </w:r>
          </w:p>
        </w:tc>
        <w:tc>
          <w:tcPr>
            <w:tcW w:w="6054" w:type="dxa"/>
            <w:vAlign w:val="center"/>
          </w:tcPr>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100 W/平方米</w:t>
            </w:r>
          </w:p>
        </w:tc>
      </w:tr>
    </w:tbl>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负荷估算表经济技术指标</w:t>
      </w:r>
    </w:p>
    <w:tbl>
      <w:tblPr>
        <w:tblStyle w:val="23"/>
        <w:tblW w:w="978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3"/>
        <w:gridCol w:w="1119"/>
        <w:gridCol w:w="1032"/>
        <w:gridCol w:w="1023"/>
        <w:gridCol w:w="917"/>
        <w:gridCol w:w="1351"/>
        <w:gridCol w:w="1650"/>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1243" w:type="dxa"/>
            <w:shd w:val="clear" w:color="auto" w:fill="auto"/>
            <w:vAlign w:val="center"/>
          </w:tcPr>
          <w:p>
            <w:pPr>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供电范围</w:t>
            </w:r>
          </w:p>
        </w:tc>
        <w:tc>
          <w:tcPr>
            <w:tcW w:w="1119" w:type="dxa"/>
            <w:shd w:val="clear" w:color="auto" w:fill="auto"/>
            <w:vAlign w:val="center"/>
          </w:tcPr>
          <w:p>
            <w:pPr>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设备容量（kw）</w:t>
            </w:r>
          </w:p>
        </w:tc>
        <w:tc>
          <w:tcPr>
            <w:tcW w:w="1032" w:type="dxa"/>
            <w:shd w:val="clear" w:color="auto" w:fill="auto"/>
            <w:vAlign w:val="center"/>
          </w:tcPr>
          <w:p>
            <w:pPr>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需要系数Kc</w:t>
            </w:r>
          </w:p>
        </w:tc>
        <w:tc>
          <w:tcPr>
            <w:tcW w:w="1023" w:type="dxa"/>
            <w:shd w:val="clear" w:color="auto" w:fill="auto"/>
            <w:vAlign w:val="center"/>
          </w:tcPr>
          <w:p>
            <w:pPr>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自然功率数COSф</w:t>
            </w:r>
          </w:p>
        </w:tc>
        <w:tc>
          <w:tcPr>
            <w:tcW w:w="917" w:type="dxa"/>
            <w:shd w:val="clear" w:color="auto" w:fill="auto"/>
            <w:vAlign w:val="center"/>
          </w:tcPr>
          <w:p>
            <w:pPr>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tgф</w:t>
            </w:r>
          </w:p>
        </w:tc>
        <w:tc>
          <w:tcPr>
            <w:tcW w:w="1351" w:type="dxa"/>
            <w:shd w:val="clear" w:color="auto" w:fill="auto"/>
            <w:vAlign w:val="center"/>
          </w:tcPr>
          <w:p>
            <w:pPr>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有功功率P30(KW)</w:t>
            </w:r>
          </w:p>
        </w:tc>
        <w:tc>
          <w:tcPr>
            <w:tcW w:w="1650" w:type="dxa"/>
            <w:shd w:val="clear" w:color="auto" w:fill="auto"/>
            <w:vAlign w:val="center"/>
          </w:tcPr>
          <w:p>
            <w:pPr>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无功功率Q30(Kvar)</w:t>
            </w:r>
          </w:p>
        </w:tc>
        <w:tc>
          <w:tcPr>
            <w:tcW w:w="1445" w:type="dxa"/>
            <w:shd w:val="clear" w:color="auto" w:fill="auto"/>
            <w:vAlign w:val="center"/>
          </w:tcPr>
          <w:p>
            <w:pPr>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视在功率S30(KVA)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43" w:type="dxa"/>
            <w:shd w:val="clear" w:color="auto" w:fill="auto"/>
            <w:vAlign w:val="center"/>
          </w:tcPr>
          <w:p>
            <w:pPr>
              <w:jc w:val="center"/>
              <w:rPr>
                <w:rFonts w:hint="eastAsia" w:eastAsia="宋体" w:cs="宋体"/>
                <w:color w:val="000000" w:themeColor="text1"/>
                <w:kern w:val="0"/>
                <w:sz w:val="24"/>
                <w:lang w:eastAsia="zh-CN"/>
                <w14:textFill>
                  <w14:solidFill>
                    <w14:schemeClr w14:val="tx1"/>
                  </w14:solidFill>
                </w14:textFill>
              </w:rPr>
            </w:pPr>
            <w:r>
              <w:rPr>
                <w:rFonts w:hint="eastAsia" w:cs="宋体"/>
                <w:color w:val="000000" w:themeColor="text1"/>
                <w:kern w:val="0"/>
                <w:sz w:val="24"/>
                <w:lang w:val="en-US" w:eastAsia="zh-CN"/>
                <w14:textFill>
                  <w14:solidFill>
                    <w14:schemeClr w14:val="tx1"/>
                  </w14:solidFill>
                </w14:textFill>
              </w:rPr>
              <w:t>教学楼</w:t>
            </w:r>
          </w:p>
        </w:tc>
        <w:tc>
          <w:tcPr>
            <w:tcW w:w="1119" w:type="dxa"/>
            <w:shd w:val="clear" w:color="auto" w:fill="auto"/>
            <w:vAlign w:val="center"/>
          </w:tcPr>
          <w:p>
            <w:pPr>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370.2</w:t>
            </w:r>
          </w:p>
        </w:tc>
        <w:tc>
          <w:tcPr>
            <w:tcW w:w="1032" w:type="dxa"/>
            <w:shd w:val="clear" w:color="auto" w:fill="auto"/>
            <w:vAlign w:val="center"/>
          </w:tcPr>
          <w:p>
            <w:pPr>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0.7</w:t>
            </w:r>
          </w:p>
        </w:tc>
        <w:tc>
          <w:tcPr>
            <w:tcW w:w="1023" w:type="dxa"/>
            <w:shd w:val="clear" w:color="auto" w:fill="auto"/>
            <w:vAlign w:val="center"/>
          </w:tcPr>
          <w:p>
            <w:pPr>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0.9</w:t>
            </w:r>
          </w:p>
        </w:tc>
        <w:tc>
          <w:tcPr>
            <w:tcW w:w="917" w:type="dxa"/>
            <w:shd w:val="clear" w:color="auto" w:fill="auto"/>
            <w:vAlign w:val="center"/>
          </w:tcPr>
          <w:p>
            <w:pPr>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0.48</w:t>
            </w:r>
          </w:p>
        </w:tc>
        <w:tc>
          <w:tcPr>
            <w:tcW w:w="1351" w:type="dxa"/>
            <w:shd w:val="clear" w:color="auto" w:fill="auto"/>
            <w:vAlign w:val="center"/>
          </w:tcPr>
          <w:p>
            <w:pPr>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259.1</w:t>
            </w:r>
          </w:p>
        </w:tc>
        <w:tc>
          <w:tcPr>
            <w:tcW w:w="1650" w:type="dxa"/>
            <w:shd w:val="clear" w:color="auto" w:fill="auto"/>
            <w:vAlign w:val="center"/>
          </w:tcPr>
          <w:p>
            <w:pPr>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126.0</w:t>
            </w:r>
          </w:p>
        </w:tc>
        <w:tc>
          <w:tcPr>
            <w:tcW w:w="1445" w:type="dxa"/>
            <w:shd w:val="clear" w:color="auto" w:fill="auto"/>
            <w:vAlign w:val="center"/>
          </w:tcPr>
          <w:p>
            <w:pPr>
              <w:ind w:firstLine="480" w:firstLineChars="200"/>
              <w:jc w:val="center"/>
              <w:rPr>
                <w:rFonts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43" w:type="dxa"/>
            <w:shd w:val="clear" w:color="auto" w:fill="auto"/>
            <w:vAlign w:val="center"/>
          </w:tcPr>
          <w:p>
            <w:pPr>
              <w:jc w:val="center"/>
              <w:rPr>
                <w:rFonts w:hint="eastAsia" w:eastAsia="宋体" w:cs="宋体"/>
                <w:color w:val="000000" w:themeColor="text1"/>
                <w:kern w:val="0"/>
                <w:sz w:val="24"/>
                <w:lang w:eastAsia="zh-CN"/>
                <w14:textFill>
                  <w14:solidFill>
                    <w14:schemeClr w14:val="tx1"/>
                  </w14:solidFill>
                </w14:textFill>
              </w:rPr>
            </w:pPr>
            <w:r>
              <w:rPr>
                <w:rFonts w:hint="eastAsia" w:cs="宋体"/>
                <w:color w:val="000000" w:themeColor="text1"/>
                <w:kern w:val="0"/>
                <w:sz w:val="24"/>
                <w:lang w:val="en-US" w:eastAsia="zh-CN"/>
                <w14:textFill>
                  <w14:solidFill>
                    <w14:schemeClr w14:val="tx1"/>
                  </w14:solidFill>
                </w14:textFill>
              </w:rPr>
              <w:t>综合楼</w:t>
            </w:r>
          </w:p>
        </w:tc>
        <w:tc>
          <w:tcPr>
            <w:tcW w:w="1119" w:type="dxa"/>
            <w:shd w:val="clear" w:color="auto" w:fill="auto"/>
            <w:vAlign w:val="center"/>
          </w:tcPr>
          <w:p>
            <w:pPr>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260.2</w:t>
            </w:r>
          </w:p>
        </w:tc>
        <w:tc>
          <w:tcPr>
            <w:tcW w:w="1032" w:type="dxa"/>
            <w:shd w:val="clear" w:color="auto" w:fill="auto"/>
            <w:vAlign w:val="center"/>
          </w:tcPr>
          <w:p>
            <w:pPr>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0.7</w:t>
            </w:r>
          </w:p>
        </w:tc>
        <w:tc>
          <w:tcPr>
            <w:tcW w:w="1023" w:type="dxa"/>
            <w:shd w:val="clear" w:color="auto" w:fill="auto"/>
            <w:vAlign w:val="center"/>
          </w:tcPr>
          <w:p>
            <w:pPr>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0.9</w:t>
            </w:r>
          </w:p>
        </w:tc>
        <w:tc>
          <w:tcPr>
            <w:tcW w:w="917" w:type="dxa"/>
            <w:shd w:val="clear" w:color="auto" w:fill="auto"/>
            <w:vAlign w:val="center"/>
          </w:tcPr>
          <w:p>
            <w:pPr>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0.48</w:t>
            </w:r>
          </w:p>
        </w:tc>
        <w:tc>
          <w:tcPr>
            <w:tcW w:w="1351" w:type="dxa"/>
            <w:shd w:val="clear" w:color="auto" w:fill="auto"/>
            <w:vAlign w:val="center"/>
          </w:tcPr>
          <w:p>
            <w:pPr>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182.2</w:t>
            </w:r>
          </w:p>
        </w:tc>
        <w:tc>
          <w:tcPr>
            <w:tcW w:w="1650" w:type="dxa"/>
            <w:shd w:val="clear" w:color="auto" w:fill="auto"/>
            <w:vAlign w:val="center"/>
          </w:tcPr>
          <w:p>
            <w:pPr>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88.2</w:t>
            </w:r>
          </w:p>
        </w:tc>
        <w:tc>
          <w:tcPr>
            <w:tcW w:w="1445" w:type="dxa"/>
            <w:shd w:val="clear" w:color="auto" w:fill="auto"/>
            <w:vAlign w:val="center"/>
          </w:tcPr>
          <w:p>
            <w:pPr>
              <w:ind w:firstLine="480" w:firstLineChars="200"/>
              <w:jc w:val="center"/>
              <w:rPr>
                <w:rFonts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43" w:type="dxa"/>
            <w:shd w:val="clear" w:color="auto" w:fill="auto"/>
            <w:vAlign w:val="center"/>
          </w:tcPr>
          <w:p>
            <w:pPr>
              <w:jc w:val="center"/>
              <w:rPr>
                <w:rFonts w:hint="eastAsia" w:eastAsia="宋体" w:cs="宋体"/>
                <w:color w:val="000000" w:themeColor="text1"/>
                <w:kern w:val="0"/>
                <w:sz w:val="24"/>
                <w:lang w:eastAsia="zh-CN"/>
                <w14:textFill>
                  <w14:solidFill>
                    <w14:schemeClr w14:val="tx1"/>
                  </w14:solidFill>
                </w14:textFill>
              </w:rPr>
            </w:pPr>
            <w:r>
              <w:rPr>
                <w:rFonts w:hint="eastAsia" w:cs="宋体"/>
                <w:color w:val="000000" w:themeColor="text1"/>
                <w:kern w:val="0"/>
                <w:sz w:val="24"/>
                <w:lang w:val="en-US" w:eastAsia="zh-CN"/>
                <w14:textFill>
                  <w14:solidFill>
                    <w14:schemeClr w14:val="tx1"/>
                  </w14:solidFill>
                </w14:textFill>
              </w:rPr>
              <w:t>体育馆</w:t>
            </w:r>
          </w:p>
        </w:tc>
        <w:tc>
          <w:tcPr>
            <w:tcW w:w="1119" w:type="dxa"/>
            <w:shd w:val="clear" w:color="auto" w:fill="auto"/>
            <w:vAlign w:val="center"/>
          </w:tcPr>
          <w:p>
            <w:pPr>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536.1</w:t>
            </w:r>
          </w:p>
        </w:tc>
        <w:tc>
          <w:tcPr>
            <w:tcW w:w="1032" w:type="dxa"/>
            <w:shd w:val="clear" w:color="auto" w:fill="auto"/>
            <w:vAlign w:val="center"/>
          </w:tcPr>
          <w:p>
            <w:pPr>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0.7</w:t>
            </w:r>
          </w:p>
        </w:tc>
        <w:tc>
          <w:tcPr>
            <w:tcW w:w="1023" w:type="dxa"/>
            <w:shd w:val="clear" w:color="auto" w:fill="auto"/>
            <w:vAlign w:val="center"/>
          </w:tcPr>
          <w:p>
            <w:pPr>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0.9</w:t>
            </w:r>
          </w:p>
        </w:tc>
        <w:tc>
          <w:tcPr>
            <w:tcW w:w="917" w:type="dxa"/>
            <w:shd w:val="clear" w:color="auto" w:fill="auto"/>
            <w:vAlign w:val="center"/>
          </w:tcPr>
          <w:p>
            <w:pPr>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0.48</w:t>
            </w:r>
          </w:p>
        </w:tc>
        <w:tc>
          <w:tcPr>
            <w:tcW w:w="1351" w:type="dxa"/>
            <w:shd w:val="clear" w:color="auto" w:fill="auto"/>
            <w:vAlign w:val="center"/>
          </w:tcPr>
          <w:p>
            <w:pPr>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375.3</w:t>
            </w:r>
          </w:p>
        </w:tc>
        <w:tc>
          <w:tcPr>
            <w:tcW w:w="1650" w:type="dxa"/>
            <w:shd w:val="clear" w:color="auto" w:fill="auto"/>
            <w:vAlign w:val="center"/>
          </w:tcPr>
          <w:p>
            <w:pPr>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182.0</w:t>
            </w:r>
          </w:p>
        </w:tc>
        <w:tc>
          <w:tcPr>
            <w:tcW w:w="1445" w:type="dxa"/>
            <w:shd w:val="clear" w:color="auto" w:fill="auto"/>
            <w:vAlign w:val="center"/>
          </w:tcPr>
          <w:p>
            <w:pPr>
              <w:ind w:firstLine="480" w:firstLineChars="200"/>
              <w:jc w:val="center"/>
              <w:rPr>
                <w:rFonts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43" w:type="dxa"/>
            <w:shd w:val="clear" w:color="auto" w:fill="auto"/>
            <w:vAlign w:val="center"/>
          </w:tcPr>
          <w:p>
            <w:pPr>
              <w:jc w:val="center"/>
              <w:rPr>
                <w:rFonts w:hint="eastAsia" w:cs="宋体"/>
                <w:color w:val="000000" w:themeColor="text1"/>
                <w:kern w:val="0"/>
                <w:sz w:val="24"/>
                <w:lang w:val="en-US" w:eastAsia="zh-CN"/>
                <w14:textFill>
                  <w14:solidFill>
                    <w14:schemeClr w14:val="tx1"/>
                  </w14:solidFill>
                </w14:textFill>
              </w:rPr>
            </w:pPr>
            <w:r>
              <w:rPr>
                <w:rFonts w:hint="eastAsia" w:cs="宋体"/>
                <w:color w:val="000000" w:themeColor="text1"/>
                <w:kern w:val="0"/>
                <w:sz w:val="24"/>
                <w14:textFill>
                  <w14:solidFill>
                    <w14:schemeClr w14:val="tx1"/>
                  </w14:solidFill>
                </w14:textFill>
              </w:rPr>
              <w:t>学生食堂</w:t>
            </w:r>
          </w:p>
        </w:tc>
        <w:tc>
          <w:tcPr>
            <w:tcW w:w="1119" w:type="dxa"/>
            <w:shd w:val="clear" w:color="auto" w:fill="auto"/>
            <w:vAlign w:val="center"/>
          </w:tcPr>
          <w:p>
            <w:pPr>
              <w:jc w:val="center"/>
              <w:rPr>
                <w:rFonts w:hint="eastAsia"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250</w:t>
            </w:r>
          </w:p>
        </w:tc>
        <w:tc>
          <w:tcPr>
            <w:tcW w:w="1032" w:type="dxa"/>
            <w:shd w:val="clear" w:color="auto" w:fill="auto"/>
            <w:vAlign w:val="center"/>
          </w:tcPr>
          <w:p>
            <w:pPr>
              <w:jc w:val="center"/>
              <w:rPr>
                <w:rFonts w:hint="eastAsia"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0.7</w:t>
            </w:r>
          </w:p>
        </w:tc>
        <w:tc>
          <w:tcPr>
            <w:tcW w:w="1023" w:type="dxa"/>
            <w:shd w:val="clear" w:color="auto" w:fill="auto"/>
            <w:vAlign w:val="center"/>
          </w:tcPr>
          <w:p>
            <w:pPr>
              <w:jc w:val="center"/>
              <w:rPr>
                <w:rFonts w:hint="eastAsia"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0.9</w:t>
            </w:r>
          </w:p>
        </w:tc>
        <w:tc>
          <w:tcPr>
            <w:tcW w:w="917" w:type="dxa"/>
            <w:shd w:val="clear" w:color="auto" w:fill="auto"/>
            <w:vAlign w:val="center"/>
          </w:tcPr>
          <w:p>
            <w:pPr>
              <w:jc w:val="center"/>
              <w:rPr>
                <w:rFonts w:hint="eastAsia"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0.48</w:t>
            </w:r>
          </w:p>
        </w:tc>
        <w:tc>
          <w:tcPr>
            <w:tcW w:w="1351" w:type="dxa"/>
            <w:shd w:val="clear" w:color="auto" w:fill="auto"/>
            <w:vAlign w:val="center"/>
          </w:tcPr>
          <w:p>
            <w:pPr>
              <w:jc w:val="center"/>
              <w:rPr>
                <w:rFonts w:hint="eastAsia"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175.0</w:t>
            </w:r>
          </w:p>
        </w:tc>
        <w:tc>
          <w:tcPr>
            <w:tcW w:w="1650" w:type="dxa"/>
            <w:shd w:val="clear" w:color="auto" w:fill="auto"/>
            <w:vAlign w:val="center"/>
          </w:tcPr>
          <w:p>
            <w:pPr>
              <w:jc w:val="center"/>
              <w:rPr>
                <w:rFonts w:hint="eastAsia"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85.0</w:t>
            </w:r>
          </w:p>
        </w:tc>
        <w:tc>
          <w:tcPr>
            <w:tcW w:w="1445" w:type="dxa"/>
            <w:shd w:val="clear" w:color="auto" w:fill="auto"/>
            <w:vAlign w:val="center"/>
          </w:tcPr>
          <w:p>
            <w:pPr>
              <w:ind w:firstLine="480" w:firstLineChars="200"/>
              <w:jc w:val="center"/>
              <w:rPr>
                <w:rFonts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1243" w:type="dxa"/>
            <w:shd w:val="clear" w:color="auto" w:fill="auto"/>
            <w:vAlign w:val="center"/>
          </w:tcPr>
          <w:p>
            <w:pPr>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景观及道路照明</w:t>
            </w:r>
          </w:p>
        </w:tc>
        <w:tc>
          <w:tcPr>
            <w:tcW w:w="1119" w:type="dxa"/>
            <w:shd w:val="clear" w:color="auto" w:fill="auto"/>
            <w:vAlign w:val="center"/>
          </w:tcPr>
          <w:p>
            <w:pPr>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30.0</w:t>
            </w:r>
          </w:p>
        </w:tc>
        <w:tc>
          <w:tcPr>
            <w:tcW w:w="1032" w:type="dxa"/>
            <w:shd w:val="clear" w:color="auto" w:fill="auto"/>
            <w:vAlign w:val="center"/>
          </w:tcPr>
          <w:p>
            <w:pPr>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0.8</w:t>
            </w:r>
          </w:p>
        </w:tc>
        <w:tc>
          <w:tcPr>
            <w:tcW w:w="1023" w:type="dxa"/>
            <w:shd w:val="clear" w:color="auto" w:fill="auto"/>
            <w:vAlign w:val="center"/>
          </w:tcPr>
          <w:p>
            <w:pPr>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0.9</w:t>
            </w:r>
          </w:p>
        </w:tc>
        <w:tc>
          <w:tcPr>
            <w:tcW w:w="917" w:type="dxa"/>
            <w:shd w:val="clear" w:color="auto" w:fill="auto"/>
            <w:vAlign w:val="center"/>
          </w:tcPr>
          <w:p>
            <w:pPr>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0.88</w:t>
            </w:r>
          </w:p>
        </w:tc>
        <w:tc>
          <w:tcPr>
            <w:tcW w:w="1351" w:type="dxa"/>
            <w:shd w:val="clear" w:color="auto" w:fill="auto"/>
            <w:vAlign w:val="center"/>
          </w:tcPr>
          <w:p>
            <w:pPr>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24.0</w:t>
            </w:r>
          </w:p>
        </w:tc>
        <w:tc>
          <w:tcPr>
            <w:tcW w:w="1650" w:type="dxa"/>
            <w:shd w:val="clear" w:color="auto" w:fill="auto"/>
            <w:vAlign w:val="center"/>
          </w:tcPr>
          <w:p>
            <w:pPr>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21.1</w:t>
            </w:r>
          </w:p>
        </w:tc>
        <w:tc>
          <w:tcPr>
            <w:tcW w:w="1445" w:type="dxa"/>
            <w:shd w:val="clear" w:color="auto" w:fill="auto"/>
            <w:vAlign w:val="center"/>
          </w:tcPr>
          <w:p>
            <w:pPr>
              <w:ind w:firstLine="480" w:firstLineChars="200"/>
              <w:jc w:val="center"/>
              <w:rPr>
                <w:rFonts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43" w:type="dxa"/>
            <w:shd w:val="clear" w:color="auto" w:fill="auto"/>
            <w:vAlign w:val="center"/>
          </w:tcPr>
          <w:p>
            <w:pPr>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合计</w:t>
            </w:r>
          </w:p>
        </w:tc>
        <w:tc>
          <w:tcPr>
            <w:tcW w:w="1119" w:type="dxa"/>
            <w:shd w:val="clear" w:color="auto" w:fill="auto"/>
            <w:vAlign w:val="center"/>
          </w:tcPr>
          <w:p>
            <w:pPr>
              <w:jc w:val="center"/>
              <w:rPr>
                <w:rFonts w:hint="default" w:eastAsia="宋体" w:cs="宋体"/>
                <w:color w:val="000000" w:themeColor="text1"/>
                <w:kern w:val="0"/>
                <w:sz w:val="24"/>
                <w:lang w:val="en-US" w:eastAsia="zh-CN"/>
                <w14:textFill>
                  <w14:solidFill>
                    <w14:schemeClr w14:val="tx1"/>
                  </w14:solidFill>
                </w14:textFill>
              </w:rPr>
            </w:pPr>
            <w:r>
              <w:rPr>
                <w:rFonts w:hint="eastAsia" w:cs="宋体"/>
                <w:color w:val="000000" w:themeColor="text1"/>
                <w:kern w:val="0"/>
                <w:sz w:val="24"/>
                <w:lang w:val="en-US" w:eastAsia="zh-CN"/>
                <w14:textFill>
                  <w14:solidFill>
                    <w14:schemeClr w14:val="tx1"/>
                  </w14:solidFill>
                </w14:textFill>
              </w:rPr>
              <w:t>1446.5</w:t>
            </w:r>
          </w:p>
        </w:tc>
        <w:tc>
          <w:tcPr>
            <w:tcW w:w="1032" w:type="dxa"/>
            <w:shd w:val="clear" w:color="auto" w:fill="auto"/>
            <w:vAlign w:val="center"/>
          </w:tcPr>
          <w:p>
            <w:pPr>
              <w:ind w:firstLine="480" w:firstLineChars="200"/>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w:t>
            </w:r>
          </w:p>
        </w:tc>
        <w:tc>
          <w:tcPr>
            <w:tcW w:w="1023" w:type="dxa"/>
            <w:shd w:val="clear" w:color="auto" w:fill="auto"/>
            <w:vAlign w:val="center"/>
          </w:tcPr>
          <w:p>
            <w:pPr>
              <w:ind w:firstLine="480" w:firstLineChars="200"/>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w:t>
            </w:r>
          </w:p>
        </w:tc>
        <w:tc>
          <w:tcPr>
            <w:tcW w:w="917" w:type="dxa"/>
            <w:shd w:val="clear" w:color="auto" w:fill="auto"/>
            <w:vAlign w:val="center"/>
          </w:tcPr>
          <w:p>
            <w:pPr>
              <w:ind w:firstLine="480" w:firstLineChars="200"/>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w:t>
            </w:r>
          </w:p>
        </w:tc>
        <w:tc>
          <w:tcPr>
            <w:tcW w:w="1351" w:type="dxa"/>
            <w:shd w:val="clear" w:color="auto" w:fill="auto"/>
            <w:vAlign w:val="center"/>
          </w:tcPr>
          <w:p>
            <w:pPr>
              <w:jc w:val="center"/>
              <w:rPr>
                <w:rFonts w:hint="default" w:eastAsia="宋体" w:cs="宋体"/>
                <w:color w:val="000000" w:themeColor="text1"/>
                <w:kern w:val="0"/>
                <w:sz w:val="24"/>
                <w:lang w:val="en-US" w:eastAsia="zh-CN"/>
                <w14:textFill>
                  <w14:solidFill>
                    <w14:schemeClr w14:val="tx1"/>
                  </w14:solidFill>
                </w14:textFill>
              </w:rPr>
            </w:pPr>
            <w:r>
              <w:rPr>
                <w:rFonts w:hint="eastAsia" w:cs="宋体"/>
                <w:color w:val="000000" w:themeColor="text1"/>
                <w:kern w:val="0"/>
                <w:sz w:val="24"/>
                <w:lang w:val="en-US" w:eastAsia="zh-CN"/>
                <w14:textFill>
                  <w14:solidFill>
                    <w14:schemeClr w14:val="tx1"/>
                  </w14:solidFill>
                </w14:textFill>
              </w:rPr>
              <w:t>1015.6</w:t>
            </w:r>
          </w:p>
        </w:tc>
        <w:tc>
          <w:tcPr>
            <w:tcW w:w="1650" w:type="dxa"/>
            <w:shd w:val="clear" w:color="auto" w:fill="auto"/>
            <w:vAlign w:val="center"/>
          </w:tcPr>
          <w:p>
            <w:pPr>
              <w:jc w:val="center"/>
              <w:rPr>
                <w:rFonts w:hint="default" w:eastAsia="宋体" w:cs="宋体"/>
                <w:color w:val="000000" w:themeColor="text1"/>
                <w:kern w:val="0"/>
                <w:sz w:val="24"/>
                <w:lang w:val="en-US" w:eastAsia="zh-CN"/>
                <w14:textFill>
                  <w14:solidFill>
                    <w14:schemeClr w14:val="tx1"/>
                  </w14:solidFill>
                </w14:textFill>
              </w:rPr>
            </w:pPr>
            <w:r>
              <w:rPr>
                <w:rFonts w:hint="eastAsia" w:cs="宋体"/>
                <w:color w:val="000000" w:themeColor="text1"/>
                <w:kern w:val="0"/>
                <w:sz w:val="24"/>
                <w:lang w:val="en-US" w:eastAsia="zh-CN"/>
                <w14:textFill>
                  <w14:solidFill>
                    <w14:schemeClr w14:val="tx1"/>
                  </w14:solidFill>
                </w14:textFill>
              </w:rPr>
              <w:t>502.3</w:t>
            </w:r>
          </w:p>
        </w:tc>
        <w:tc>
          <w:tcPr>
            <w:tcW w:w="1445" w:type="dxa"/>
            <w:shd w:val="clear" w:color="auto" w:fill="auto"/>
            <w:vAlign w:val="center"/>
          </w:tcPr>
          <w:p>
            <w:pPr>
              <w:jc w:val="center"/>
              <w:rPr>
                <w:rFonts w:hint="default" w:eastAsia="宋体" w:cs="宋体"/>
                <w:color w:val="000000" w:themeColor="text1"/>
                <w:kern w:val="0"/>
                <w:sz w:val="24"/>
                <w:lang w:val="en-US" w:eastAsia="zh-CN"/>
                <w14:textFill>
                  <w14:solidFill>
                    <w14:schemeClr w14:val="tx1"/>
                  </w14:solidFill>
                </w14:textFill>
              </w:rPr>
            </w:pPr>
            <w:r>
              <w:rPr>
                <w:rFonts w:hint="eastAsia" w:cs="宋体"/>
                <w:color w:val="000000" w:themeColor="text1"/>
                <w:kern w:val="0"/>
                <w:sz w:val="24"/>
                <w:lang w:val="en-US" w:eastAsia="zh-CN"/>
                <w14:textFill>
                  <w14:solidFill>
                    <w14:schemeClr w14:val="tx1"/>
                  </w14:solidFill>
                </w14:textFill>
              </w:rPr>
              <w:t>1012.55</w:t>
            </w:r>
          </w:p>
        </w:tc>
      </w:tr>
    </w:tbl>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根据负荷估算以及低压供电半径和单台变压器容量限制，本工程设置10/0.4KV箱式变压器2台800KVA， 变压器总装设容量1600KVA。</w:t>
      </w:r>
    </w:p>
    <w:p>
      <w:pPr>
        <w:pStyle w:val="2"/>
        <w:rPr>
          <w:color w:val="000000" w:themeColor="text1"/>
          <w:sz w:val="32"/>
          <w:szCs w:val="32"/>
          <w14:textFill>
            <w14:solidFill>
              <w14:schemeClr w14:val="tx1"/>
            </w14:solidFill>
          </w14:textFill>
        </w:rPr>
      </w:pPr>
      <w:bookmarkStart w:id="118" w:name="_Toc39918062"/>
      <w:bookmarkStart w:id="119" w:name="_Toc62208860"/>
      <w:bookmarkStart w:id="120" w:name="_Toc749"/>
      <w:r>
        <w:rPr>
          <w:rFonts w:hint="eastAsia"/>
          <w:color w:val="000000" w:themeColor="text1"/>
          <w:sz w:val="32"/>
          <w:szCs w:val="32"/>
          <w14:textFill>
            <w14:solidFill>
              <w14:schemeClr w14:val="tx1"/>
            </w14:solidFill>
          </w14:textFill>
        </w:rPr>
        <w:t>四、供电电源及电压等级</w:t>
      </w:r>
      <w:bookmarkEnd w:id="118"/>
      <w:bookmarkEnd w:id="119"/>
      <w:bookmarkEnd w:id="120"/>
    </w:p>
    <w:p>
      <w:pPr>
        <w:ind w:firstLine="643" w:firstLineChars="200"/>
        <w:rPr>
          <w:rFonts w:cs="宋体"/>
          <w:b/>
          <w:color w:val="000000" w:themeColor="text1"/>
          <w:kern w:val="0"/>
          <w:sz w:val="32"/>
          <w:szCs w:val="32"/>
          <w14:textFill>
            <w14:solidFill>
              <w14:schemeClr w14:val="tx1"/>
            </w14:solidFill>
          </w14:textFill>
        </w:rPr>
      </w:pPr>
      <w:r>
        <w:rPr>
          <w:rFonts w:hint="eastAsia" w:cs="宋体"/>
          <w:b/>
          <w:color w:val="000000" w:themeColor="text1"/>
          <w:kern w:val="0"/>
          <w:sz w:val="32"/>
          <w:szCs w:val="32"/>
          <w14:textFill>
            <w14:solidFill>
              <w14:schemeClr w14:val="tx1"/>
            </w14:solidFill>
          </w14:textFill>
        </w:rPr>
        <w:t>4.1  电源及电压</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(1)本工程采用二回独立10KV电源由城市电网供电，穿管埋地引入本工程，作为正常工作电源。项目内设六座10/0.4KV变电所，高低压开关柜采用上进线上出线方式接线。各单体建筑电源由配电室380/220V引入即可。</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(2) 高压供电系统：10KV系统采用单母线分段接线。10KV设备采用环网柜，变压器设温度保护，超温时联动断开负荷开关。</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(3)高压计量：采用集中计量，在10KV电源进线处设置专用计量装置。</w:t>
      </w:r>
    </w:p>
    <w:p>
      <w:pPr>
        <w:ind w:firstLine="643" w:firstLineChars="200"/>
        <w:rPr>
          <w:rFonts w:cs="宋体"/>
          <w:b/>
          <w:color w:val="000000" w:themeColor="text1"/>
          <w:kern w:val="0"/>
          <w:sz w:val="32"/>
          <w:szCs w:val="32"/>
          <w14:textFill>
            <w14:solidFill>
              <w14:schemeClr w14:val="tx1"/>
            </w14:solidFill>
          </w14:textFill>
        </w:rPr>
      </w:pPr>
      <w:r>
        <w:rPr>
          <w:rFonts w:hint="eastAsia" w:cs="宋体"/>
          <w:b/>
          <w:color w:val="000000" w:themeColor="text1"/>
          <w:kern w:val="0"/>
          <w:sz w:val="32"/>
          <w:szCs w:val="32"/>
          <w14:textFill>
            <w14:solidFill>
              <w14:schemeClr w14:val="tx1"/>
            </w14:solidFill>
          </w14:textFill>
        </w:rPr>
        <w:t>4.2供电系统</w:t>
      </w:r>
    </w:p>
    <w:p>
      <w:pPr>
        <w:ind w:firstLine="640" w:firstLineChars="200"/>
        <w:rPr>
          <w:rFonts w:cs="宋体"/>
          <w:color w:val="000000" w:themeColor="text1"/>
          <w:kern w:val="0"/>
          <w:sz w:val="32"/>
          <w:szCs w:val="32"/>
          <w14:textFill>
            <w14:solidFill>
              <w14:schemeClr w14:val="tx1"/>
            </w14:solidFill>
          </w14:textFill>
        </w:rPr>
      </w:pPr>
      <w:bookmarkStart w:id="121" w:name="_Toc261117115"/>
      <w:r>
        <w:rPr>
          <w:rFonts w:hint="eastAsia" w:cs="宋体"/>
          <w:color w:val="000000" w:themeColor="text1"/>
          <w:kern w:val="0"/>
          <w:sz w:val="32"/>
          <w:szCs w:val="32"/>
          <w14:textFill>
            <w14:solidFill>
              <w14:schemeClr w14:val="tx1"/>
            </w14:solidFill>
          </w14:textFill>
        </w:rPr>
        <w:t>(1)对于单台容量较大的负荷或重要负荷采用放射式配电；对一般设备采用放射式与树干式相结合的混合方式配电；</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(2)对消火栓泵、喷洒泵、防排烟风机、消防电梯、消防控制室、电话机房等二级负荷采用专用两路电源供电，用BTLV-1kV电缆由配电室沿不同路径电缆桥架敷设至配电点，并在末端互投；</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(3)导线除注明外为BV-4X2.5mm2穿SC20管敷设；</w:t>
      </w:r>
    </w:p>
    <w:p>
      <w:pPr>
        <w:ind w:firstLine="480" w:firstLineChars="15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 xml:space="preserve"> (4)采用一栋一表，集中计量方式。</w:t>
      </w:r>
    </w:p>
    <w:p>
      <w:pPr>
        <w:ind w:firstLine="480" w:firstLineChars="15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（5）充电设施：按公共建筑配建的停车场、社会公共停车场建设充电设施或预留建设安装条件的车位比例不小于10%，本项目预留充电设施安装的容量，后期根据业主使用需求安装。</w:t>
      </w:r>
    </w:p>
    <w:bookmarkEnd w:id="121"/>
    <w:p>
      <w:pPr>
        <w:ind w:firstLine="643" w:firstLineChars="200"/>
        <w:rPr>
          <w:rFonts w:cs="宋体"/>
          <w:b/>
          <w:color w:val="000000" w:themeColor="text1"/>
          <w:kern w:val="0"/>
          <w:sz w:val="32"/>
          <w:szCs w:val="32"/>
          <w14:textFill>
            <w14:solidFill>
              <w14:schemeClr w14:val="tx1"/>
            </w14:solidFill>
          </w14:textFill>
        </w:rPr>
      </w:pPr>
      <w:r>
        <w:rPr>
          <w:rFonts w:hint="eastAsia" w:cs="宋体"/>
          <w:b/>
          <w:color w:val="000000" w:themeColor="text1"/>
          <w:kern w:val="0"/>
          <w:sz w:val="32"/>
          <w:szCs w:val="32"/>
          <w14:textFill>
            <w14:solidFill>
              <w14:schemeClr w14:val="tx1"/>
            </w14:solidFill>
          </w14:textFill>
        </w:rPr>
        <w:t>4.3照明系统</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4.3.1光源：一般场所为荧光灯或节能型光源，有装修要求的场所视装修要求商定；</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4.3.2照度标准：按现行国家标准《建筑照明设计标准》GB50034-2013执行。</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4.3.3应急照明及疏散指示：变配电所、消防控制室、电信机房、（消防）水泵房、（消防）楼梯间、（合用）前室、大面积的商场、多功能厅、展厅、大堂等场所设置应急照明及疏散指示。标准如下：</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应急照明的照度要求:</w:t>
      </w:r>
    </w:p>
    <w:tbl>
      <w:tblPr>
        <w:tblStyle w:val="23"/>
        <w:tblW w:w="96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2552"/>
        <w:gridCol w:w="1276"/>
        <w:gridCol w:w="1559"/>
        <w:gridCol w:w="1417"/>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21" w:type="dxa"/>
            <w:vMerge w:val="restart"/>
            <w:vAlign w:val="center"/>
          </w:tcPr>
          <w:p>
            <w:pPr>
              <w:jc w:val="center"/>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区域类别</w:t>
            </w:r>
          </w:p>
        </w:tc>
        <w:tc>
          <w:tcPr>
            <w:tcW w:w="2552" w:type="dxa"/>
            <w:vMerge w:val="restart"/>
            <w:vAlign w:val="center"/>
          </w:tcPr>
          <w:p>
            <w:pPr>
              <w:jc w:val="center"/>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场所</w:t>
            </w:r>
          </w:p>
        </w:tc>
        <w:tc>
          <w:tcPr>
            <w:tcW w:w="2835" w:type="dxa"/>
            <w:gridSpan w:val="2"/>
            <w:vAlign w:val="center"/>
          </w:tcPr>
          <w:p>
            <w:pPr>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最少持续供电时间（min）</w:t>
            </w:r>
          </w:p>
        </w:tc>
        <w:tc>
          <w:tcPr>
            <w:tcW w:w="2773" w:type="dxa"/>
            <w:gridSpan w:val="2"/>
            <w:vAlign w:val="center"/>
          </w:tcPr>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照度 lx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1521" w:type="dxa"/>
            <w:vMerge w:val="continue"/>
            <w:vAlign w:val="center"/>
          </w:tcPr>
          <w:p>
            <w:pPr>
              <w:ind w:firstLine="640" w:firstLineChars="200"/>
              <w:rPr>
                <w:rFonts w:cs="宋体"/>
                <w:color w:val="000000" w:themeColor="text1"/>
                <w:kern w:val="0"/>
                <w:sz w:val="32"/>
                <w:szCs w:val="32"/>
                <w14:textFill>
                  <w14:solidFill>
                    <w14:schemeClr w14:val="tx1"/>
                  </w14:solidFill>
                </w14:textFill>
              </w:rPr>
            </w:pPr>
          </w:p>
        </w:tc>
        <w:tc>
          <w:tcPr>
            <w:tcW w:w="2552" w:type="dxa"/>
            <w:vMerge w:val="continue"/>
            <w:vAlign w:val="center"/>
          </w:tcPr>
          <w:p>
            <w:pPr>
              <w:ind w:firstLine="640" w:firstLineChars="200"/>
              <w:rPr>
                <w:rFonts w:cs="宋体"/>
                <w:color w:val="000000" w:themeColor="text1"/>
                <w:kern w:val="0"/>
                <w:sz w:val="32"/>
                <w:szCs w:val="32"/>
                <w14:textFill>
                  <w14:solidFill>
                    <w14:schemeClr w14:val="tx1"/>
                  </w14:solidFill>
                </w14:textFill>
              </w:rPr>
            </w:pPr>
          </w:p>
        </w:tc>
        <w:tc>
          <w:tcPr>
            <w:tcW w:w="1276" w:type="dxa"/>
            <w:vAlign w:val="center"/>
          </w:tcPr>
          <w:p>
            <w:pPr>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备用照明</w:t>
            </w:r>
          </w:p>
        </w:tc>
        <w:tc>
          <w:tcPr>
            <w:tcW w:w="1559" w:type="dxa"/>
            <w:vAlign w:val="center"/>
          </w:tcPr>
          <w:p>
            <w:pPr>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疏散照明</w:t>
            </w:r>
          </w:p>
        </w:tc>
        <w:tc>
          <w:tcPr>
            <w:tcW w:w="1417" w:type="dxa"/>
            <w:vAlign w:val="center"/>
          </w:tcPr>
          <w:p>
            <w:pPr>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备用照明</w:t>
            </w:r>
          </w:p>
        </w:tc>
        <w:tc>
          <w:tcPr>
            <w:tcW w:w="1356" w:type="dxa"/>
            <w:vAlign w:val="center"/>
          </w:tcPr>
          <w:p>
            <w:pPr>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疏散照明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21" w:type="dxa"/>
            <w:vAlign w:val="center"/>
          </w:tcPr>
          <w:p>
            <w:pPr>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一般平面疏散区域</w:t>
            </w:r>
          </w:p>
        </w:tc>
        <w:tc>
          <w:tcPr>
            <w:tcW w:w="2552" w:type="dxa"/>
            <w:vAlign w:val="center"/>
          </w:tcPr>
          <w:p>
            <w:pPr>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《民用建筑电气设计标准》GB51348-2019 第13.8.3.1条所述场所</w:t>
            </w:r>
          </w:p>
        </w:tc>
        <w:tc>
          <w:tcPr>
            <w:tcW w:w="1276" w:type="dxa"/>
            <w:vAlign w:val="center"/>
          </w:tcPr>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w:t>
            </w:r>
          </w:p>
        </w:tc>
        <w:tc>
          <w:tcPr>
            <w:tcW w:w="1559" w:type="dxa"/>
            <w:vAlign w:val="center"/>
          </w:tcPr>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≥30</w:t>
            </w:r>
          </w:p>
        </w:tc>
        <w:tc>
          <w:tcPr>
            <w:tcW w:w="1417" w:type="dxa"/>
            <w:vAlign w:val="center"/>
          </w:tcPr>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w:t>
            </w:r>
          </w:p>
        </w:tc>
        <w:tc>
          <w:tcPr>
            <w:tcW w:w="1356" w:type="dxa"/>
            <w:vAlign w:val="center"/>
          </w:tcPr>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21" w:type="dxa"/>
            <w:vAlign w:val="center"/>
          </w:tcPr>
          <w:p>
            <w:pPr>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人员密集流动疏散区域及地下疏散区域</w:t>
            </w:r>
          </w:p>
        </w:tc>
        <w:tc>
          <w:tcPr>
            <w:tcW w:w="2552" w:type="dxa"/>
            <w:vAlign w:val="center"/>
          </w:tcPr>
          <w:p>
            <w:pPr>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《民用建筑电气设计标准》GB51348-2019 第13.8.3.2条所述场所</w:t>
            </w:r>
          </w:p>
        </w:tc>
        <w:tc>
          <w:tcPr>
            <w:tcW w:w="1276" w:type="dxa"/>
            <w:vAlign w:val="center"/>
          </w:tcPr>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w:t>
            </w:r>
          </w:p>
        </w:tc>
        <w:tc>
          <w:tcPr>
            <w:tcW w:w="1559" w:type="dxa"/>
            <w:vAlign w:val="center"/>
          </w:tcPr>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≥30</w:t>
            </w:r>
          </w:p>
        </w:tc>
        <w:tc>
          <w:tcPr>
            <w:tcW w:w="1417" w:type="dxa"/>
            <w:vAlign w:val="center"/>
          </w:tcPr>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w:t>
            </w:r>
          </w:p>
        </w:tc>
        <w:tc>
          <w:tcPr>
            <w:tcW w:w="1356" w:type="dxa"/>
            <w:vAlign w:val="center"/>
          </w:tcPr>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21" w:type="dxa"/>
            <w:vMerge w:val="restart"/>
            <w:vAlign w:val="center"/>
          </w:tcPr>
          <w:p>
            <w:pPr>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消防工作区域</w:t>
            </w:r>
          </w:p>
        </w:tc>
        <w:tc>
          <w:tcPr>
            <w:tcW w:w="2552" w:type="dxa"/>
            <w:vAlign w:val="center"/>
          </w:tcPr>
          <w:p>
            <w:pPr>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消防控制室、电话总机房</w:t>
            </w:r>
          </w:p>
        </w:tc>
        <w:tc>
          <w:tcPr>
            <w:tcW w:w="1276" w:type="dxa"/>
            <w:vAlign w:val="center"/>
          </w:tcPr>
          <w:p>
            <w:pPr>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≥180</w:t>
            </w:r>
          </w:p>
        </w:tc>
        <w:tc>
          <w:tcPr>
            <w:tcW w:w="1559" w:type="dxa"/>
            <w:vAlign w:val="center"/>
          </w:tcPr>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w:t>
            </w:r>
          </w:p>
        </w:tc>
        <w:tc>
          <w:tcPr>
            <w:tcW w:w="1417" w:type="dxa"/>
            <w:vAlign w:val="center"/>
          </w:tcPr>
          <w:p>
            <w:pPr>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不低于正常照明照度</w:t>
            </w:r>
          </w:p>
        </w:tc>
        <w:tc>
          <w:tcPr>
            <w:tcW w:w="1356" w:type="dxa"/>
            <w:vAlign w:val="center"/>
          </w:tcPr>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21" w:type="dxa"/>
            <w:vMerge w:val="continue"/>
            <w:vAlign w:val="center"/>
          </w:tcPr>
          <w:p>
            <w:pPr>
              <w:ind w:firstLine="640" w:firstLineChars="200"/>
              <w:rPr>
                <w:rFonts w:cs="宋体"/>
                <w:color w:val="000000" w:themeColor="text1"/>
                <w:kern w:val="0"/>
                <w:sz w:val="32"/>
                <w:szCs w:val="32"/>
                <w14:textFill>
                  <w14:solidFill>
                    <w14:schemeClr w14:val="tx1"/>
                  </w14:solidFill>
                </w14:textFill>
              </w:rPr>
            </w:pPr>
          </w:p>
        </w:tc>
        <w:tc>
          <w:tcPr>
            <w:tcW w:w="2552" w:type="dxa"/>
            <w:vAlign w:val="center"/>
          </w:tcPr>
          <w:p>
            <w:pPr>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配电室、发电站</w:t>
            </w:r>
          </w:p>
        </w:tc>
        <w:tc>
          <w:tcPr>
            <w:tcW w:w="1276" w:type="dxa"/>
            <w:vAlign w:val="center"/>
          </w:tcPr>
          <w:p>
            <w:pPr>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≥180</w:t>
            </w:r>
          </w:p>
        </w:tc>
        <w:tc>
          <w:tcPr>
            <w:tcW w:w="1559" w:type="dxa"/>
            <w:vAlign w:val="center"/>
          </w:tcPr>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w:t>
            </w:r>
          </w:p>
        </w:tc>
        <w:tc>
          <w:tcPr>
            <w:tcW w:w="1417" w:type="dxa"/>
            <w:vAlign w:val="center"/>
          </w:tcPr>
          <w:p>
            <w:pPr>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不低于正常照明照度</w:t>
            </w:r>
          </w:p>
        </w:tc>
        <w:tc>
          <w:tcPr>
            <w:tcW w:w="1356" w:type="dxa"/>
            <w:vAlign w:val="center"/>
          </w:tcPr>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21" w:type="dxa"/>
            <w:vMerge w:val="continue"/>
            <w:vAlign w:val="center"/>
          </w:tcPr>
          <w:p>
            <w:pPr>
              <w:ind w:firstLine="640" w:firstLineChars="200"/>
              <w:rPr>
                <w:rFonts w:cs="宋体"/>
                <w:color w:val="000000" w:themeColor="text1"/>
                <w:kern w:val="0"/>
                <w:sz w:val="32"/>
                <w:szCs w:val="32"/>
                <w14:textFill>
                  <w14:solidFill>
                    <w14:schemeClr w14:val="tx1"/>
                  </w14:solidFill>
                </w14:textFill>
              </w:rPr>
            </w:pPr>
          </w:p>
        </w:tc>
        <w:tc>
          <w:tcPr>
            <w:tcW w:w="2552" w:type="dxa"/>
            <w:vAlign w:val="center"/>
          </w:tcPr>
          <w:p>
            <w:pPr>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水泵房、风机房</w:t>
            </w:r>
          </w:p>
        </w:tc>
        <w:tc>
          <w:tcPr>
            <w:tcW w:w="1276" w:type="dxa"/>
            <w:vAlign w:val="center"/>
          </w:tcPr>
          <w:p>
            <w:pPr>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≥180</w:t>
            </w:r>
          </w:p>
        </w:tc>
        <w:tc>
          <w:tcPr>
            <w:tcW w:w="1559" w:type="dxa"/>
            <w:vAlign w:val="center"/>
          </w:tcPr>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w:t>
            </w:r>
          </w:p>
        </w:tc>
        <w:tc>
          <w:tcPr>
            <w:tcW w:w="1417" w:type="dxa"/>
            <w:vAlign w:val="center"/>
          </w:tcPr>
          <w:p>
            <w:pPr>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不低于正常照明照度</w:t>
            </w:r>
          </w:p>
        </w:tc>
        <w:tc>
          <w:tcPr>
            <w:tcW w:w="1356" w:type="dxa"/>
            <w:vAlign w:val="center"/>
          </w:tcPr>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w:t>
            </w:r>
          </w:p>
        </w:tc>
      </w:tr>
    </w:tbl>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4.3.4照明配电系统：照明、插座分别由不同的支路供电，除注明外照明支路导线为BV-2X2.5mm2穿SC20管敷设；插座支路导线为BV-3X4mm2穿SC20管敷设；所有插座支路（空调插座除外）均设剩余电流保护器；应急照明支路导线为ZR-BV-2X2.5mm2穿SC20管敷设。</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4.3.5凡安装高度低于2.4m的灯具,依验收规范增设PE线.</w:t>
      </w:r>
    </w:p>
    <w:p>
      <w:pPr>
        <w:ind w:firstLine="643" w:firstLineChars="200"/>
        <w:rPr>
          <w:rFonts w:cs="宋体"/>
          <w:b/>
          <w:color w:val="000000" w:themeColor="text1"/>
          <w:kern w:val="0"/>
          <w:sz w:val="32"/>
          <w:szCs w:val="32"/>
          <w14:textFill>
            <w14:solidFill>
              <w14:schemeClr w14:val="tx1"/>
            </w14:solidFill>
          </w14:textFill>
        </w:rPr>
      </w:pPr>
      <w:r>
        <w:rPr>
          <w:rFonts w:hint="eastAsia" w:cs="宋体"/>
          <w:b/>
          <w:color w:val="000000" w:themeColor="text1"/>
          <w:kern w:val="0"/>
          <w:sz w:val="32"/>
          <w:szCs w:val="32"/>
          <w14:textFill>
            <w14:solidFill>
              <w14:schemeClr w14:val="tx1"/>
            </w14:solidFill>
          </w14:textFill>
        </w:rPr>
        <w:t>4.4设备选型及安装</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4.4.1变压器按环氧树脂真空浇注节能型干式变压器设计，设强制风冷系统；接线为D,Yn11，保护罩由厂家配套供货，防护等级不低于IP20；</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4.4.2高压配电柜直流操作；电缆上进上出；</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4.4.3低压配电柜按依据抽插式开关进行设计，落地式安装；电缆上进上出；</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4.4.4其它设备待施工图设计时与业主协商考虑。</w:t>
      </w:r>
    </w:p>
    <w:p>
      <w:pPr>
        <w:ind w:firstLine="643" w:firstLineChars="200"/>
        <w:rPr>
          <w:rFonts w:cs="宋体"/>
          <w:color w:val="000000" w:themeColor="text1"/>
          <w:kern w:val="0"/>
          <w:sz w:val="32"/>
          <w:szCs w:val="32"/>
          <w14:textFill>
            <w14:solidFill>
              <w14:schemeClr w14:val="tx1"/>
            </w14:solidFill>
          </w14:textFill>
        </w:rPr>
      </w:pPr>
      <w:r>
        <w:rPr>
          <w:rFonts w:hint="eastAsia" w:cs="宋体"/>
          <w:b/>
          <w:color w:val="000000" w:themeColor="text1"/>
          <w:kern w:val="0"/>
          <w:sz w:val="32"/>
          <w:szCs w:val="32"/>
          <w14:textFill>
            <w14:solidFill>
              <w14:schemeClr w14:val="tx1"/>
            </w14:solidFill>
          </w14:textFill>
        </w:rPr>
        <w:t>4.5电缆、导线的选型</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4.5.1高压电缆采用YJV-10kV交联聚氯乙烯绝缘护套铜芯电力电缆。</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4.5.2消防设备配电电缆采用WDN-YJV-1KV--0.6/1kV低烟无卤铜芯耐火电力电缆，工作温度：90℃；</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4.5.3应急照明、消防设备配电导线采用NH-BV-0.45/0.75kV导线；</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4.5.4控制电缆为KVV型电缆，与消防设备有关的控制电缆为NH-KVV耐火型电缆；</w:t>
      </w:r>
    </w:p>
    <w:p>
      <w:pPr>
        <w:ind w:firstLine="643" w:firstLineChars="200"/>
        <w:rPr>
          <w:rFonts w:cs="宋体"/>
          <w:b/>
          <w:color w:val="000000" w:themeColor="text1"/>
          <w:kern w:val="0"/>
          <w:sz w:val="32"/>
          <w:szCs w:val="32"/>
          <w14:textFill>
            <w14:solidFill>
              <w14:schemeClr w14:val="tx1"/>
            </w14:solidFill>
          </w14:textFill>
        </w:rPr>
      </w:pPr>
      <w:r>
        <w:rPr>
          <w:rFonts w:hint="eastAsia" w:cs="宋体"/>
          <w:b/>
          <w:color w:val="000000" w:themeColor="text1"/>
          <w:kern w:val="0"/>
          <w:sz w:val="32"/>
          <w:szCs w:val="32"/>
          <w14:textFill>
            <w14:solidFill>
              <w14:schemeClr w14:val="tx1"/>
            </w14:solidFill>
          </w14:textFill>
        </w:rPr>
        <w:t>4.6防雷保护、安全措施及接地系统：</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4.6.1防雷保护：</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（1）建筑按二类防雷要求设防。</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（2）在屋顶设避雷带作防直击雷的接闪器，利用建筑物结构柱子内的主筋作引下线，利用结构基础内钢筋网作接地体；</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4.6.2安全措施</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（1）本工程低压配电系统接地型式采用TN-S系统；</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（2）其中性线和保护地线（PE）在接地点后要严格分开，凡正常不带电而当绝缘破坏有可能呈现电压的一切电气设备金属外壳均应可靠接地；</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（3）防雷接地、变压器中性点接地及电气设备保护接地等共用统一的接地装置；</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（4）计算机电源系统、有线电视引入端、电信引入端设过电压保护装置；</w:t>
      </w:r>
    </w:p>
    <w:p>
      <w:pPr>
        <w:ind w:firstLine="643" w:firstLineChars="200"/>
        <w:rPr>
          <w:rFonts w:cs="宋体"/>
          <w:b/>
          <w:color w:val="000000" w:themeColor="text1"/>
          <w:kern w:val="0"/>
          <w:sz w:val="32"/>
          <w:szCs w:val="32"/>
          <w14:textFill>
            <w14:solidFill>
              <w14:schemeClr w14:val="tx1"/>
            </w14:solidFill>
          </w14:textFill>
        </w:rPr>
      </w:pPr>
      <w:r>
        <w:rPr>
          <w:rFonts w:hint="eastAsia" w:cs="宋体"/>
          <w:b/>
          <w:color w:val="000000" w:themeColor="text1"/>
          <w:kern w:val="0"/>
          <w:sz w:val="32"/>
          <w:szCs w:val="32"/>
          <w14:textFill>
            <w14:solidFill>
              <w14:schemeClr w14:val="tx1"/>
            </w14:solidFill>
          </w14:textFill>
        </w:rPr>
        <w:t>4.7接地系统：</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4.7.1强弱电共用联合接地装置，要求接地电阻应小于1欧姆；</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4.7．2电梯机房、消防控制室、计算机网络机房、电讯机房、安防控制室、建筑设备监控室等弱电设备用房设LEB,采用BV-1x25PC32与MEB联结。</w:t>
      </w:r>
    </w:p>
    <w:p>
      <w:pPr>
        <w:pStyle w:val="2"/>
        <w:rPr>
          <w:color w:val="000000" w:themeColor="text1"/>
          <w:sz w:val="32"/>
          <w:szCs w:val="32"/>
          <w14:textFill>
            <w14:solidFill>
              <w14:schemeClr w14:val="tx1"/>
            </w14:solidFill>
          </w14:textFill>
        </w:rPr>
      </w:pPr>
      <w:bookmarkStart w:id="122" w:name="_Toc39918063"/>
      <w:bookmarkStart w:id="123" w:name="_Toc27484"/>
      <w:bookmarkStart w:id="124" w:name="_Toc62208861"/>
      <w:r>
        <w:rPr>
          <w:rFonts w:hint="eastAsia"/>
          <w:color w:val="000000" w:themeColor="text1"/>
          <w:sz w:val="32"/>
          <w:szCs w:val="32"/>
          <w14:textFill>
            <w14:solidFill>
              <w14:schemeClr w14:val="tx1"/>
            </w14:solidFill>
          </w14:textFill>
        </w:rPr>
        <w:t>五、弱电设计</w:t>
      </w:r>
      <w:bookmarkEnd w:id="122"/>
      <w:bookmarkEnd w:id="123"/>
      <w:bookmarkEnd w:id="124"/>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设计范围：地块内各建筑的可视对讲系统、电话通讯系统、有线电视系统、综合布线系统、车辆管理系统、安防系统。</w:t>
      </w:r>
    </w:p>
    <w:p>
      <w:pPr>
        <w:ind w:firstLine="643" w:firstLineChars="200"/>
        <w:rPr>
          <w:rFonts w:cs="宋体"/>
          <w:b/>
          <w:color w:val="000000" w:themeColor="text1"/>
          <w:kern w:val="0"/>
          <w:sz w:val="32"/>
          <w:szCs w:val="32"/>
          <w14:textFill>
            <w14:solidFill>
              <w14:schemeClr w14:val="tx1"/>
            </w14:solidFill>
          </w14:textFill>
        </w:rPr>
      </w:pPr>
      <w:r>
        <w:rPr>
          <w:rFonts w:hint="eastAsia" w:cs="宋体"/>
          <w:b/>
          <w:color w:val="000000" w:themeColor="text1"/>
          <w:kern w:val="0"/>
          <w:sz w:val="32"/>
          <w:szCs w:val="32"/>
          <w14:textFill>
            <w14:solidFill>
              <w14:schemeClr w14:val="tx1"/>
            </w14:solidFill>
          </w14:textFill>
        </w:rPr>
        <w:t>5.1.有线电视系统</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1. 电视进线由市政有线电视网引至本地块弱电总机房，接入电视总前端箱，各栋设置电视前端箱，各层设置电视分配器箱。</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2. 系统采用750MHZ邻频传输，用户电平满足64±4dB，图象清晰度不低于4级。</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3. 电视总前端箱和电视前端箱落地安装，下底抬高0.05m，电视分配器箱和电视插座嵌墙暗装，下底距地分别为2.1m和0.3m。</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4. 线缆选择及敷设</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（1）.电视进线电缆型号规格由运营商确定，埋地深0.7m敷设。</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（2）.电视总前端箱--各栋电视前端箱的干线选用SYWV-75-9射频电缆，室内采用电缆桥架敷设，室外采用PVC多联管埋地深0.7m敷设。</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（3）. 电视前端箱--楼层电视分配器箱的分支线选用SYWV-75-7射频电缆，电缆桥架敷设。</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 xml:space="preserve">（4）.楼层电视分配器箱--电视插座的支线选用SYWV-75-5射频电缆，穿阻燃PVC管暗敷设。   </w:t>
      </w:r>
    </w:p>
    <w:p>
      <w:pPr>
        <w:ind w:firstLine="643" w:firstLineChars="200"/>
        <w:rPr>
          <w:rFonts w:cs="宋体"/>
          <w:b/>
          <w:color w:val="000000" w:themeColor="text1"/>
          <w:kern w:val="0"/>
          <w:sz w:val="32"/>
          <w:szCs w:val="32"/>
          <w14:textFill>
            <w14:solidFill>
              <w14:schemeClr w14:val="tx1"/>
            </w14:solidFill>
          </w14:textFill>
        </w:rPr>
      </w:pPr>
      <w:r>
        <w:rPr>
          <w:rFonts w:hint="eastAsia" w:cs="宋体"/>
          <w:b/>
          <w:color w:val="000000" w:themeColor="text1"/>
          <w:kern w:val="0"/>
          <w:sz w:val="32"/>
          <w:szCs w:val="32"/>
          <w14:textFill>
            <w14:solidFill>
              <w14:schemeClr w14:val="tx1"/>
            </w14:solidFill>
          </w14:textFill>
        </w:rPr>
        <w:t>5.2电话系统</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1. 本工程设一个弱电总机房，位于地下室内，弱电总机房内设三台电话总分线箱；各栋设一个弱电间，弱电间内均设三套电话分线箱，以满足三家电信运营商平等接入的要求。</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2. 电话进线由市政电信网引至本地块弱电总机房，接入电话总分线箱，各栋设置电话分线箱。</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3. 电话总分线箱和电话分线箱落地安装，下底抬高0.05m，多媒体信息箱和电话插座嵌墙暗装，下底距地0.3m。</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4. 线缆选择及敷设</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（1）.电话进线电缆型号由运营商确定，埋地深0.7m敷设。</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（2）.电话总分线箱--各栋电话分线箱的干线选用HPVV型电话电缆，室内采用电缆桥架敷设，室外采用阻燃PVC管埋地深0.7m敷设。</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（3）.电话分线箱--电话插座的支线选用HYA型电话线，穿阻燃PVC管暗敷设。</w:t>
      </w:r>
    </w:p>
    <w:p>
      <w:pPr>
        <w:ind w:firstLine="643" w:firstLineChars="200"/>
        <w:rPr>
          <w:rFonts w:cs="宋体"/>
          <w:b/>
          <w:color w:val="000000" w:themeColor="text1"/>
          <w:kern w:val="0"/>
          <w:sz w:val="32"/>
          <w:szCs w:val="32"/>
          <w14:textFill>
            <w14:solidFill>
              <w14:schemeClr w14:val="tx1"/>
            </w14:solidFill>
          </w14:textFill>
        </w:rPr>
      </w:pPr>
      <w:r>
        <w:rPr>
          <w:rFonts w:hint="eastAsia" w:cs="宋体"/>
          <w:b/>
          <w:color w:val="000000" w:themeColor="text1"/>
          <w:kern w:val="0"/>
          <w:sz w:val="32"/>
          <w:szCs w:val="32"/>
          <w14:textFill>
            <w14:solidFill>
              <w14:schemeClr w14:val="tx1"/>
            </w14:solidFill>
          </w14:textFill>
        </w:rPr>
        <w:t>5.3. 宽带网系统</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1. 本工程地下室弱电总机房内设三台宽带网总分线箱；各栋设一个弱电间，弱电间内均设三套宽带网分线箱，以满足三家电信运营商平等接入的要求。从外主干网络到小区弱电机房和各电信间之间采用多模光纤综合布线系统。用户接入点至楼层配线箱之间的用户光缆采用G.652D光纤，楼层配线箱至用户光缆采用G.657A光纤。</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2. 宽带网进线由市政宽带网引至本地块弱电总机房，接入宽带网总分线箱，各栋设置宽带网分线箱。</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3. 宽带网总分线箱和宽带网分线箱落地安装，下底抬高0.05m，宽带网插座嵌墙暗装，下底距地0.3m。</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4. 线缆选择及敷设</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（1）.宽带网进线电缆型号规格由运营商确定，埋地深0.7m敷设。</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（2）.宽带网总分线箱--各栋宽带网分线箱的干线选用四芯多模光缆，室内采用电缆桥架敷设，室外采用PVC多联管埋地深0.7m敷设。</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（3）.宽带网分线箱--宽带网插座的支线选用CAT6非屏蔽六类4对对绞线电缆，穿阻燃PVC管暗敷设。</w:t>
      </w:r>
    </w:p>
    <w:p>
      <w:pPr>
        <w:ind w:firstLine="643" w:firstLineChars="200"/>
        <w:rPr>
          <w:rFonts w:cs="宋体"/>
          <w:b/>
          <w:color w:val="000000" w:themeColor="text1"/>
          <w:kern w:val="0"/>
          <w:sz w:val="32"/>
          <w:szCs w:val="32"/>
          <w14:textFill>
            <w14:solidFill>
              <w14:schemeClr w14:val="tx1"/>
            </w14:solidFill>
          </w14:textFill>
        </w:rPr>
      </w:pPr>
      <w:r>
        <w:rPr>
          <w:rFonts w:hint="eastAsia" w:cs="宋体"/>
          <w:b/>
          <w:color w:val="000000" w:themeColor="text1"/>
          <w:kern w:val="0"/>
          <w:sz w:val="32"/>
          <w:szCs w:val="32"/>
          <w14:textFill>
            <w14:solidFill>
              <w14:schemeClr w14:val="tx1"/>
            </w14:solidFill>
          </w14:textFill>
        </w:rPr>
        <w:t>5.5辆管理系统</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1. 汽车库管理系统入口车道设备包括出票机、读卡机、内部电话、摄像机和档杆。出口车道设备包括读卡机、费用显示器、内部电话、收费亭和档杆等。通过验证出入卡，票和图像识别等，识别各进出车辆，从而防止车辆被盗。车辆进入系统能精确地建立车辆外侧表面上部的轮廓，并能模拟地拍摄高分辨率的车辆图像。它还能迅速地自动探测车辆的车牌、从所拍影象中提取资料，然后把所拍车牌号码和影象与票据和车辆特征记录相对比。以保证车辆的正常有序出入。</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2. 本工程在主要出入口设置汽车库管理系统。</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3. 系统应具备：自动计费、收费显示、出票机有中文提示、自动打印收据；出入挡杆自动控制；</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4. 入口处设空车位数量显示；使用过期票据报警；物体堵塞验卡机入口报警；非法打开收款机钱箱报警；出票机内票据不足报警。</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5. 车道出入口的控制主机与出票机、读卡机、内部电话、摄像机和档杆等的管线采用穿管埋地敷设方式。</w:t>
      </w:r>
    </w:p>
    <w:p>
      <w:pPr>
        <w:pStyle w:val="2"/>
        <w:rPr>
          <w:color w:val="000000" w:themeColor="text1"/>
          <w:sz w:val="32"/>
          <w:szCs w:val="32"/>
          <w14:textFill>
            <w14:solidFill>
              <w14:schemeClr w14:val="tx1"/>
            </w14:solidFill>
          </w14:textFill>
        </w:rPr>
      </w:pPr>
      <w:bookmarkStart w:id="125" w:name="_Toc39918064"/>
      <w:bookmarkStart w:id="126" w:name="_Toc62208862"/>
      <w:bookmarkStart w:id="127" w:name="_Toc28213"/>
      <w:r>
        <w:rPr>
          <w:rFonts w:hint="eastAsia"/>
          <w:color w:val="000000" w:themeColor="text1"/>
          <w:sz w:val="32"/>
          <w:szCs w:val="32"/>
          <w14:textFill>
            <w14:solidFill>
              <w14:schemeClr w14:val="tx1"/>
            </w14:solidFill>
          </w14:textFill>
        </w:rPr>
        <w:t>六、火灾自动报警系统</w:t>
      </w:r>
      <w:bookmarkEnd w:id="125"/>
      <w:bookmarkEnd w:id="126"/>
      <w:bookmarkEnd w:id="127"/>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1．本工程火灾自动报警系统防火等级按集中报警系统设置。</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2. 系统组成：火灾自动报警系统；消防联动控制系统；火灾应急广播系统；</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消防专用电话系统；应急照明控制及消防系统接地。</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3．火灾自动报警系统：本工程为集中报警系统,对本项目的火灾信号和消防设备进行监视及控制。</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 xml:space="preserve">（1）在商业、楼梯间、走廊、地下室等场所设置感烟探测器；在开水间、吸烟室、水泵房等平时烟尘较大的场所设置感温探测器； </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（2）在消火栓箱内设置消火栓按钮。</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4．消防联动控制 ：消防控制室内设置联动控制台，其控制方式分为自动\手动控制、手动硬线直接控制。通过联动控制台，可实现对消火栓系统、自动喷水系统、防排烟系统、正压送风系统、防火卷帘门、防火门、电梯运行、气体灭火、火灾应急广播、火灾应急照明等的监视及控制。火灾发生时可手动/自动切断空调机组、通风机及其它非消防电源。</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5．火灾应急广播系统：在消防控制室设置火灾应急广播(与公共广播、背景音乐合用)机柜,机组采用定压式输出。火灾应急广播按建筑层或防火分区分路，每层或每一防火分区为一路。</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6．消防专用电话系统：在消防控制室内设置消防专用直通对讲电话总机；消防控制室设置可直接报警的外线电话。</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7．应急照明系统及消防系统接地</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（1）供电电源：消防用电设备的配电装置均采用专用回路双电源供电，并在末端配电装置处设置自动切换装置。</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（2）应急照明系统：应急照明采用专用回路双电源配电，并在末端互投。</w:t>
      </w:r>
    </w:p>
    <w:p>
      <w:pPr>
        <w:pStyle w:val="2"/>
        <w:rPr>
          <w:color w:val="000000" w:themeColor="text1"/>
          <w:sz w:val="32"/>
          <w:szCs w:val="32"/>
          <w14:textFill>
            <w14:solidFill>
              <w14:schemeClr w14:val="tx1"/>
            </w14:solidFill>
          </w14:textFill>
        </w:rPr>
      </w:pPr>
      <w:bookmarkStart w:id="128" w:name="_Toc9385"/>
      <w:bookmarkStart w:id="129" w:name="_Toc62208863"/>
      <w:bookmarkStart w:id="130" w:name="_Toc39918065"/>
      <w:r>
        <w:rPr>
          <w:rFonts w:hint="eastAsia"/>
          <w:color w:val="000000" w:themeColor="text1"/>
          <w:sz w:val="32"/>
          <w:szCs w:val="32"/>
          <w14:textFill>
            <w14:solidFill>
              <w14:schemeClr w14:val="tx1"/>
            </w14:solidFill>
          </w14:textFill>
        </w:rPr>
        <w:t>七、电气节能</w:t>
      </w:r>
      <w:bookmarkEnd w:id="128"/>
      <w:bookmarkEnd w:id="129"/>
      <w:bookmarkEnd w:id="130"/>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1.照明设备选择及节能技术措施</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（1）照明光源设备选用的节能技术措施：</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商业、办公、车库、设备机房等场所采用T5直管形三基高显色荧光灯；</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走道等公共部位采用紧凑型节能灯。</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2 .高效率节能灯具和附件选用的节能技术措施：</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（1）直管形三基色荧光灯和紧凑型节能荧光灯采用高品质电子镇流器，</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功率因数应达到0.90以上，总谐波失真在L级允许值以下。</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（2）所有镇流器应符合该产品的国家能效标准。</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3 .照明控制方式选择</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楼梯间，走道照明，除疏散照明外，可采用人体红外感应自动照明或声光控节能自熄开关等措施，以达到节电的目的。</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4.变电所位置及变压器等设备选型的节能技术措施</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（1）电所位置，应争取靠近负荷中心。</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（2）变压器选用高效低功耗的SCB10型环氧树脂浇铸干式变压器，接线组别采用D•yn11。</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（3）变电所低压侧设置集中无功补偿装置，使10KV侧功率因数在0.9以上。</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5.电能源系统管理控制</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（1）本工程采用一栋一表计量。</w:t>
      </w:r>
    </w:p>
    <w:p>
      <w:pPr>
        <w:rPr>
          <w:color w:val="000000" w:themeColor="text1"/>
          <w14:textFill>
            <w14:solidFill>
              <w14:schemeClr w14:val="tx1"/>
            </w14:solidFill>
          </w14:textFill>
        </w:rPr>
      </w:pPr>
    </w:p>
    <w:p>
      <w:pPr>
        <w:pStyle w:val="2"/>
        <w:jc w:val="center"/>
        <w:rPr>
          <w:color w:val="000000" w:themeColor="text1"/>
          <w14:textFill>
            <w14:solidFill>
              <w14:schemeClr w14:val="tx1"/>
            </w14:solidFill>
          </w14:textFill>
        </w:rPr>
      </w:pPr>
      <w:bookmarkStart w:id="131" w:name="_Toc10755"/>
      <w:r>
        <w:rPr>
          <w:rFonts w:hint="eastAsia"/>
          <w:color w:val="000000" w:themeColor="text1"/>
          <w14:textFill>
            <w14:solidFill>
              <w14:schemeClr w14:val="tx1"/>
            </w14:solidFill>
          </w14:textFill>
        </w:rPr>
        <w:t>第十章  暖通设计</w:t>
      </w:r>
      <w:bookmarkEnd w:id="131"/>
    </w:p>
    <w:p>
      <w:pPr>
        <w:pStyle w:val="2"/>
        <w:rPr>
          <w:color w:val="000000" w:themeColor="text1"/>
          <w:sz w:val="32"/>
          <w:szCs w:val="32"/>
          <w14:textFill>
            <w14:solidFill>
              <w14:schemeClr w14:val="tx1"/>
            </w14:solidFill>
          </w14:textFill>
        </w:rPr>
      </w:pPr>
      <w:bookmarkStart w:id="132" w:name="_Toc11969"/>
      <w:bookmarkStart w:id="133" w:name="_Toc62208865"/>
      <w:bookmarkStart w:id="134" w:name="_Toc39918067"/>
      <w:r>
        <w:rPr>
          <w:rFonts w:hint="eastAsia"/>
          <w:color w:val="000000" w:themeColor="text1"/>
          <w:sz w:val="32"/>
          <w:szCs w:val="32"/>
          <w14:textFill>
            <w14:solidFill>
              <w14:schemeClr w14:val="tx1"/>
            </w14:solidFill>
          </w14:textFill>
        </w:rPr>
        <w:t>一、设计依据</w:t>
      </w:r>
      <w:bookmarkEnd w:id="132"/>
      <w:bookmarkEnd w:id="133"/>
      <w:bookmarkEnd w:id="134"/>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《民用建筑采暖通风与空气调节设计规范》</w:t>
      </w:r>
      <w:r>
        <w:rPr>
          <w:rFonts w:hint="eastAsia" w:cs="宋体"/>
          <w:color w:val="000000" w:themeColor="text1"/>
          <w:kern w:val="0"/>
          <w:sz w:val="32"/>
          <w:szCs w:val="32"/>
          <w14:textFill>
            <w14:solidFill>
              <w14:schemeClr w14:val="tx1"/>
            </w14:solidFill>
          </w14:textFill>
        </w:rPr>
        <w:tab/>
      </w:r>
      <w:r>
        <w:rPr>
          <w:rFonts w:hint="eastAsia" w:cs="宋体"/>
          <w:color w:val="000000" w:themeColor="text1"/>
          <w:kern w:val="0"/>
          <w:sz w:val="32"/>
          <w:szCs w:val="32"/>
          <w14:textFill>
            <w14:solidFill>
              <w14:schemeClr w14:val="tx1"/>
            </w14:solidFill>
          </w14:textFill>
        </w:rPr>
        <w:t xml:space="preserve"> GB50736-2012</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《建筑设计防火规范》</w:t>
      </w:r>
      <w:r>
        <w:rPr>
          <w:rFonts w:hint="eastAsia" w:cs="宋体"/>
          <w:color w:val="000000" w:themeColor="text1"/>
          <w:kern w:val="0"/>
          <w:sz w:val="32"/>
          <w:szCs w:val="32"/>
          <w14:textFill>
            <w14:solidFill>
              <w14:schemeClr w14:val="tx1"/>
            </w14:solidFill>
          </w14:textFill>
        </w:rPr>
        <w:tab/>
      </w:r>
      <w:r>
        <w:rPr>
          <w:rFonts w:hint="eastAsia" w:cs="宋体"/>
          <w:color w:val="000000" w:themeColor="text1"/>
          <w:kern w:val="0"/>
          <w:sz w:val="32"/>
          <w:szCs w:val="32"/>
          <w14:textFill>
            <w14:solidFill>
              <w14:schemeClr w14:val="tx1"/>
            </w14:solidFill>
          </w14:textFill>
        </w:rPr>
        <w:tab/>
      </w:r>
      <w:r>
        <w:rPr>
          <w:rFonts w:hint="eastAsia" w:cs="宋体"/>
          <w:color w:val="000000" w:themeColor="text1"/>
          <w:kern w:val="0"/>
          <w:sz w:val="32"/>
          <w:szCs w:val="32"/>
          <w14:textFill>
            <w14:solidFill>
              <w14:schemeClr w14:val="tx1"/>
            </w14:solidFill>
          </w14:textFill>
        </w:rPr>
        <w:tab/>
      </w:r>
      <w:r>
        <w:rPr>
          <w:rFonts w:hint="eastAsia" w:cs="宋体"/>
          <w:color w:val="000000" w:themeColor="text1"/>
          <w:kern w:val="0"/>
          <w:sz w:val="32"/>
          <w:szCs w:val="32"/>
          <w14:textFill>
            <w14:solidFill>
              <w14:schemeClr w14:val="tx1"/>
            </w14:solidFill>
          </w14:textFill>
        </w:rPr>
        <w:tab/>
      </w:r>
      <w:r>
        <w:rPr>
          <w:rFonts w:hint="eastAsia" w:cs="宋体"/>
          <w:color w:val="000000" w:themeColor="text1"/>
          <w:kern w:val="0"/>
          <w:sz w:val="32"/>
          <w:szCs w:val="32"/>
          <w14:textFill>
            <w14:solidFill>
              <w14:schemeClr w14:val="tx1"/>
            </w14:solidFill>
          </w14:textFill>
        </w:rPr>
        <w:t xml:space="preserve">          GB50016-2014（2018版）</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《建筑防烟排烟系统技术标准》              GB51251-2017</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《汽车库、停车库、修车厂设计防火规范》</w:t>
      </w:r>
      <w:r>
        <w:rPr>
          <w:rFonts w:hint="eastAsia" w:cs="宋体"/>
          <w:color w:val="000000" w:themeColor="text1"/>
          <w:kern w:val="0"/>
          <w:sz w:val="32"/>
          <w:szCs w:val="32"/>
          <w14:textFill>
            <w14:solidFill>
              <w14:schemeClr w14:val="tx1"/>
            </w14:solidFill>
          </w14:textFill>
        </w:rPr>
        <w:tab/>
      </w:r>
      <w:r>
        <w:rPr>
          <w:rFonts w:hint="eastAsia" w:cs="宋体"/>
          <w:color w:val="000000" w:themeColor="text1"/>
          <w:kern w:val="0"/>
          <w:sz w:val="32"/>
          <w:szCs w:val="32"/>
          <w14:textFill>
            <w14:solidFill>
              <w14:schemeClr w14:val="tx1"/>
            </w14:solidFill>
          </w14:textFill>
        </w:rPr>
        <w:t xml:space="preserve"> GB 50067-2014</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《公共建筑节能设计标准》</w:t>
      </w:r>
      <w:r>
        <w:rPr>
          <w:rFonts w:hint="eastAsia" w:cs="宋体"/>
          <w:color w:val="000000" w:themeColor="text1"/>
          <w:kern w:val="0"/>
          <w:sz w:val="32"/>
          <w:szCs w:val="32"/>
          <w14:textFill>
            <w14:solidFill>
              <w14:schemeClr w14:val="tx1"/>
            </w14:solidFill>
          </w14:textFill>
        </w:rPr>
        <w:tab/>
      </w:r>
      <w:r>
        <w:rPr>
          <w:rFonts w:hint="eastAsia" w:cs="宋体"/>
          <w:color w:val="000000" w:themeColor="text1"/>
          <w:kern w:val="0"/>
          <w:sz w:val="32"/>
          <w:szCs w:val="32"/>
          <w14:textFill>
            <w14:solidFill>
              <w14:schemeClr w14:val="tx1"/>
            </w14:solidFill>
          </w14:textFill>
        </w:rPr>
        <w:tab/>
      </w:r>
      <w:r>
        <w:rPr>
          <w:rFonts w:hint="eastAsia" w:cs="宋体"/>
          <w:color w:val="000000" w:themeColor="text1"/>
          <w:kern w:val="0"/>
          <w:sz w:val="32"/>
          <w:szCs w:val="32"/>
          <w14:textFill>
            <w14:solidFill>
              <w14:schemeClr w14:val="tx1"/>
            </w14:solidFill>
          </w14:textFill>
        </w:rPr>
        <w:tab/>
      </w:r>
      <w:r>
        <w:rPr>
          <w:rFonts w:hint="eastAsia" w:cs="宋体"/>
          <w:color w:val="000000" w:themeColor="text1"/>
          <w:kern w:val="0"/>
          <w:sz w:val="32"/>
          <w:szCs w:val="32"/>
          <w14:textFill>
            <w14:solidFill>
              <w14:schemeClr w14:val="tx1"/>
            </w14:solidFill>
          </w14:textFill>
        </w:rPr>
        <w:tab/>
      </w:r>
      <w:r>
        <w:rPr>
          <w:rFonts w:hint="eastAsia" w:cs="宋体"/>
          <w:color w:val="000000" w:themeColor="text1"/>
          <w:kern w:val="0"/>
          <w:sz w:val="32"/>
          <w:szCs w:val="32"/>
          <w14:textFill>
            <w14:solidFill>
              <w14:schemeClr w14:val="tx1"/>
            </w14:solidFill>
          </w14:textFill>
        </w:rPr>
        <w:t xml:space="preserve">       GB50189-2015</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《云南省民用建筑节能设计标准》            DBJ53/T-39-2020</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《气体灭火系统设计规范》                  GB50370-2005</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 xml:space="preserve">《云南省建设工程消防技术导则》          </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全国民用建筑工程设计技术措施 暖通空调.动力 2009版</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建设单位提供的批准文件资料及要求</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土建专业提供的建筑平、立、剖面</w:t>
      </w:r>
    </w:p>
    <w:p>
      <w:pPr>
        <w:pStyle w:val="2"/>
        <w:rPr>
          <w:color w:val="000000" w:themeColor="text1"/>
          <w:sz w:val="32"/>
          <w:szCs w:val="32"/>
          <w14:textFill>
            <w14:solidFill>
              <w14:schemeClr w14:val="tx1"/>
            </w14:solidFill>
          </w14:textFill>
        </w:rPr>
      </w:pPr>
      <w:bookmarkStart w:id="135" w:name="_Toc39918068"/>
      <w:bookmarkStart w:id="136" w:name="_Toc30038"/>
      <w:bookmarkStart w:id="137" w:name="_Toc62208866"/>
      <w:r>
        <w:rPr>
          <w:rFonts w:hint="eastAsia"/>
          <w:color w:val="000000" w:themeColor="text1"/>
          <w:sz w:val="32"/>
          <w:szCs w:val="32"/>
          <w14:textFill>
            <w14:solidFill>
              <w14:schemeClr w14:val="tx1"/>
            </w14:solidFill>
          </w14:textFill>
        </w:rPr>
        <w:t>二、设计范围</w:t>
      </w:r>
      <w:bookmarkEnd w:id="135"/>
      <w:bookmarkEnd w:id="136"/>
      <w:bookmarkEnd w:id="137"/>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1.配电房等通风兼气体灭火结束后的机械排风系统；</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2.</w:t>
      </w:r>
      <w:r>
        <w:rPr>
          <w:rFonts w:hint="eastAsia"/>
          <w:color w:val="000000" w:themeColor="text1"/>
          <w:sz w:val="32"/>
          <w:szCs w:val="32"/>
          <w14:textFill>
            <w14:solidFill>
              <w14:schemeClr w14:val="tx1"/>
            </w14:solidFill>
          </w14:textFill>
        </w:rPr>
        <w:t xml:space="preserve"> </w:t>
      </w:r>
      <w:r>
        <w:rPr>
          <w:rFonts w:hint="eastAsia" w:cs="宋体"/>
          <w:color w:val="000000" w:themeColor="text1"/>
          <w:kern w:val="0"/>
          <w:sz w:val="32"/>
          <w:szCs w:val="32"/>
          <w14:textFill>
            <w14:solidFill>
              <w14:schemeClr w14:val="tx1"/>
            </w14:solidFill>
          </w14:textFill>
        </w:rPr>
        <w:t>公共建筑内建筑面积大于100㎡且经常有人停留或公共建筑内建筑面积大于300㎡且可燃物较多的地上房间的排烟系统设计；</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3.内走道的排烟系统；</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4.封闭楼梯间的防烟系统；</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5.卫生间机械排风系统；</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6.厨房机械排风系统；</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7.设备用房的通风系统。</w:t>
      </w:r>
    </w:p>
    <w:p>
      <w:pPr>
        <w:pStyle w:val="2"/>
        <w:rPr>
          <w:color w:val="000000" w:themeColor="text1"/>
          <w:sz w:val="32"/>
          <w:szCs w:val="32"/>
          <w14:textFill>
            <w14:solidFill>
              <w14:schemeClr w14:val="tx1"/>
            </w14:solidFill>
          </w14:textFill>
        </w:rPr>
      </w:pPr>
      <w:bookmarkStart w:id="138" w:name="_Toc10649"/>
      <w:bookmarkStart w:id="139" w:name="_Toc62208867"/>
      <w:bookmarkStart w:id="140" w:name="_Toc39918069"/>
      <w:r>
        <w:rPr>
          <w:rFonts w:hint="eastAsia"/>
          <w:color w:val="000000" w:themeColor="text1"/>
          <w:sz w:val="32"/>
          <w:szCs w:val="32"/>
          <w14:textFill>
            <w14:solidFill>
              <w14:schemeClr w14:val="tx1"/>
            </w14:solidFill>
          </w14:textFill>
        </w:rPr>
        <w:t>三、通风及防排烟系统设计</w:t>
      </w:r>
      <w:bookmarkEnd w:id="138"/>
      <w:bookmarkEnd w:id="139"/>
      <w:bookmarkEnd w:id="140"/>
    </w:p>
    <w:p>
      <w:pPr>
        <w:ind w:firstLine="643" w:firstLineChars="200"/>
        <w:rPr>
          <w:rFonts w:cs="宋体"/>
          <w:color w:val="000000" w:themeColor="text1"/>
          <w:kern w:val="0"/>
          <w:sz w:val="32"/>
          <w:szCs w:val="32"/>
          <w14:textFill>
            <w14:solidFill>
              <w14:schemeClr w14:val="tx1"/>
            </w14:solidFill>
          </w14:textFill>
        </w:rPr>
      </w:pPr>
      <w:r>
        <w:rPr>
          <w:rFonts w:hint="eastAsia" w:cs="宋体"/>
          <w:b/>
          <w:color w:val="000000" w:themeColor="text1"/>
          <w:kern w:val="0"/>
          <w:sz w:val="32"/>
          <w:szCs w:val="32"/>
          <w14:textFill>
            <w14:solidFill>
              <w14:schemeClr w14:val="tx1"/>
            </w14:solidFill>
          </w14:textFill>
        </w:rPr>
        <w:t>3.1、配电房等通风兼气体灭火结束后的机械排风系统</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地下配电房等设机械通风系统，平时通风量按照换气次数4~8次/小时计算，气体灭火结束后的机械排风量按换气次数大于5次/小时设计。</w:t>
      </w:r>
    </w:p>
    <w:p>
      <w:pPr>
        <w:ind w:firstLine="643" w:firstLineChars="200"/>
        <w:rPr>
          <w:rFonts w:cs="宋体"/>
          <w:b/>
          <w:color w:val="000000" w:themeColor="text1"/>
          <w:kern w:val="0"/>
          <w:sz w:val="32"/>
          <w:szCs w:val="32"/>
          <w14:textFill>
            <w14:solidFill>
              <w14:schemeClr w14:val="tx1"/>
            </w14:solidFill>
          </w14:textFill>
        </w:rPr>
      </w:pPr>
      <w:r>
        <w:rPr>
          <w:rFonts w:hint="eastAsia" w:cs="宋体"/>
          <w:b/>
          <w:color w:val="000000" w:themeColor="text1"/>
          <w:kern w:val="0"/>
          <w:sz w:val="32"/>
          <w:szCs w:val="32"/>
          <w14:textFill>
            <w14:solidFill>
              <w14:schemeClr w14:val="tx1"/>
            </w14:solidFill>
          </w14:textFill>
        </w:rPr>
        <w:t>3.2、公共建筑内建筑面积大于100㎡且经常有人停留或公共建筑内建筑面积大于300㎡且可燃物较多的地上房间的排烟系统设计：</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公共建筑内建筑面积大于100㎡且经常有人停留或公共建筑内建筑面积大于300㎡且可燃物较多的地上房间，可开启外窗面积大于房间面积的2%，且开窗至房间最远距离小于30m，采用自然排烟方式。当不能满足自然排烟时，采用机械排烟，机械排烟系统竖向设置。排烟量按建筑空间高度小于或等于6m的场所，其排烟量按不小于60m3/（h.㎡）计算，且取值不小于15000m3/h，或设置有效面积不小于该房间建筑面积2%的自然排烟窗（口）。当一个排烟系统担负多个防烟分区排烟时，其系统排烟量应按同一防火分区中任意两个相邻防烟分区的排烟量之和的最大值计算。防烟分区采用从梁下采用不小于500的防火材料划分,排烟口距防烟分区内最远点的水平距离不超过30m,采用自然补风,补风量不小于排烟量的50%。设计风量不小于计算风量的1.2倍。</w:t>
      </w:r>
    </w:p>
    <w:p>
      <w:pPr>
        <w:ind w:firstLine="643" w:firstLineChars="200"/>
        <w:rPr>
          <w:rFonts w:cs="宋体"/>
          <w:b/>
          <w:color w:val="000000" w:themeColor="text1"/>
          <w:kern w:val="0"/>
          <w:sz w:val="32"/>
          <w:szCs w:val="32"/>
          <w14:textFill>
            <w14:solidFill>
              <w14:schemeClr w14:val="tx1"/>
            </w14:solidFill>
          </w14:textFill>
        </w:rPr>
      </w:pPr>
      <w:r>
        <w:rPr>
          <w:rFonts w:hint="eastAsia" w:cs="宋体"/>
          <w:b/>
          <w:color w:val="000000" w:themeColor="text1"/>
          <w:kern w:val="0"/>
          <w:sz w:val="32"/>
          <w:szCs w:val="32"/>
          <w14:textFill>
            <w14:solidFill>
              <w14:schemeClr w14:val="tx1"/>
            </w14:solidFill>
          </w14:textFill>
        </w:rPr>
        <w:t>3.3、内走道的排烟系统：</w:t>
      </w:r>
    </w:p>
    <w:p>
      <w:pPr>
        <w:ind w:firstLine="640" w:firstLineChars="200"/>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建筑内长度大于20m的疏散走道排烟系统。当满足自然排烟要求时，如仅需在走道设置排烟时，在走道两侧设置不小于2平米自然排烟窗（口）且不小于走道建筑面积2%的自然排烟窗（口），两侧自然排烟窗（口）的距离不应小于走道长度的2/3；当公共建筑房间内与走道均需设置排烟时，设置有效面积不小于走道建筑面积2%的自然排烟窗（口）。当不满足自然排烟要求时，根据周围房间情况，设置机械排烟，机械排烟量按两个相邻防烟分区之区面积之和（最大）60m3/（h.</w:t>
      </w:r>
      <w:r>
        <w:rPr>
          <w:rFonts w:hint="eastAsia" w:asciiTheme="minorEastAsia" w:hAnsiTheme="minorEastAsia"/>
          <w:color w:val="000000" w:themeColor="text1"/>
          <w:sz w:val="32"/>
          <w:szCs w:val="32"/>
          <w14:textFill>
            <w14:solidFill>
              <w14:schemeClr w14:val="tx1"/>
            </w14:solidFill>
          </w14:textFill>
        </w:rPr>
        <w:t>㎡</w:t>
      </w:r>
      <w:r>
        <w:rPr>
          <w:rFonts w:hint="eastAsia" w:ascii="宋体" w:hAnsi="宋体"/>
          <w:color w:val="000000" w:themeColor="text1"/>
          <w:sz w:val="32"/>
          <w:szCs w:val="32"/>
          <w14:textFill>
            <w14:solidFill>
              <w14:schemeClr w14:val="tx1"/>
            </w14:solidFill>
          </w14:textFill>
        </w:rPr>
        <w:t>）计算且不小于13000m3/h，设计排烟量按不小于1.2倍的计算风量考虑。</w:t>
      </w:r>
    </w:p>
    <w:p>
      <w:pPr>
        <w:ind w:firstLine="643" w:firstLineChars="200"/>
        <w:rPr>
          <w:rFonts w:cs="宋体"/>
          <w:b/>
          <w:color w:val="000000" w:themeColor="text1"/>
          <w:kern w:val="0"/>
          <w:sz w:val="32"/>
          <w:szCs w:val="32"/>
          <w14:textFill>
            <w14:solidFill>
              <w14:schemeClr w14:val="tx1"/>
            </w14:solidFill>
          </w14:textFill>
        </w:rPr>
      </w:pPr>
      <w:r>
        <w:rPr>
          <w:rFonts w:hint="eastAsia" w:cs="宋体"/>
          <w:b/>
          <w:color w:val="000000" w:themeColor="text1"/>
          <w:kern w:val="0"/>
          <w:sz w:val="32"/>
          <w:szCs w:val="32"/>
          <w14:textFill>
            <w14:solidFill>
              <w14:schemeClr w14:val="tx1"/>
            </w14:solidFill>
          </w14:textFill>
        </w:rPr>
        <w:t>3.4、封闭楼梯间的防烟系统</w:t>
      </w:r>
    </w:p>
    <w:p>
      <w:pPr>
        <w:ind w:firstLine="640" w:firstLineChars="200"/>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封闭楼梯间采用自然通风，每五层可开启外窗面积不小于2平方米，间隔不超过3层，顶部可开启外窗面积不小于1平方米。</w:t>
      </w:r>
    </w:p>
    <w:p>
      <w:pPr>
        <w:ind w:firstLine="643" w:firstLineChars="200"/>
        <w:rPr>
          <w:rFonts w:cs="宋体"/>
          <w:b/>
          <w:color w:val="000000" w:themeColor="text1"/>
          <w:kern w:val="0"/>
          <w:sz w:val="32"/>
          <w:szCs w:val="32"/>
          <w14:textFill>
            <w14:solidFill>
              <w14:schemeClr w14:val="tx1"/>
            </w14:solidFill>
          </w14:textFill>
        </w:rPr>
      </w:pPr>
      <w:r>
        <w:rPr>
          <w:rFonts w:hint="eastAsia" w:cs="宋体"/>
          <w:b/>
          <w:color w:val="000000" w:themeColor="text1"/>
          <w:kern w:val="0"/>
          <w:sz w:val="32"/>
          <w:szCs w:val="32"/>
          <w14:textFill>
            <w14:solidFill>
              <w14:schemeClr w14:val="tx1"/>
            </w14:solidFill>
          </w14:textFill>
        </w:rPr>
        <w:t>3.5、卫生间机械排风系统</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卫生间设置机械排风系统。卫生间排风量按换气次数大于5~10次/小时计算。</w:t>
      </w:r>
    </w:p>
    <w:p>
      <w:pPr>
        <w:ind w:firstLine="643" w:firstLineChars="200"/>
        <w:rPr>
          <w:rFonts w:cs="宋体"/>
          <w:b/>
          <w:color w:val="000000" w:themeColor="text1"/>
          <w:kern w:val="0"/>
          <w:sz w:val="32"/>
          <w:szCs w:val="32"/>
          <w14:textFill>
            <w14:solidFill>
              <w14:schemeClr w14:val="tx1"/>
            </w14:solidFill>
          </w14:textFill>
        </w:rPr>
      </w:pPr>
      <w:r>
        <w:rPr>
          <w:rFonts w:hint="eastAsia" w:cs="宋体"/>
          <w:b/>
          <w:color w:val="000000" w:themeColor="text1"/>
          <w:kern w:val="0"/>
          <w:sz w:val="32"/>
          <w:szCs w:val="32"/>
          <w14:textFill>
            <w14:solidFill>
              <w14:schemeClr w14:val="tx1"/>
            </w14:solidFill>
          </w14:textFill>
        </w:rPr>
        <w:t>3.6、住宅厨房机械排风系统</w:t>
      </w:r>
    </w:p>
    <w:p>
      <w:pPr>
        <w:ind w:firstLine="560"/>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厨房设置排风系统，排风量按照房间换气次数不小于40次/h计算排风系统，其中65％排风量由厨房排油烟系统负担，35％由厨房排风系统负担，同时设置机械补风，补风量按总排风的80％计算；厨房排风系统需由建设方确定的厨具公司复核排油烟量是否满足最终的厨具布置及排油烟罩的需用风量后，方能采购油烟过滤器及排油烟风机，进行排油烟风管施工。(由专业公司处理)</w:t>
      </w:r>
    </w:p>
    <w:p>
      <w:pPr>
        <w:ind w:firstLine="643" w:firstLineChars="200"/>
        <w:rPr>
          <w:rFonts w:cs="宋体"/>
          <w:b/>
          <w:color w:val="000000" w:themeColor="text1"/>
          <w:kern w:val="0"/>
          <w:sz w:val="32"/>
          <w:szCs w:val="32"/>
          <w14:textFill>
            <w14:solidFill>
              <w14:schemeClr w14:val="tx1"/>
            </w14:solidFill>
          </w14:textFill>
        </w:rPr>
      </w:pPr>
      <w:r>
        <w:rPr>
          <w:rFonts w:hint="eastAsia" w:cs="宋体"/>
          <w:b/>
          <w:color w:val="000000" w:themeColor="text1"/>
          <w:kern w:val="0"/>
          <w:sz w:val="32"/>
          <w:szCs w:val="32"/>
          <w14:textFill>
            <w14:solidFill>
              <w14:schemeClr w14:val="tx1"/>
            </w14:solidFill>
          </w14:textFill>
        </w:rPr>
        <w:t>3.7、</w:t>
      </w:r>
      <w:r>
        <w:rPr>
          <w:rFonts w:hint="eastAsia" w:cs="宋体"/>
          <w:color w:val="000000" w:themeColor="text1"/>
          <w:kern w:val="0"/>
          <w:sz w:val="32"/>
          <w:szCs w:val="32"/>
          <w14:textFill>
            <w14:solidFill>
              <w14:schemeClr w14:val="tx1"/>
            </w14:solidFill>
          </w14:textFill>
        </w:rPr>
        <w:t>设备用房的通风系统</w:t>
      </w:r>
    </w:p>
    <w:p>
      <w:pPr>
        <w:ind w:firstLine="560"/>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1）水泵房设置机械通风系统，换气次数不少于6次/h，由排风管道接风井排出室外并设置70℃防火风口自然补风。</w:t>
      </w:r>
    </w:p>
    <w:p>
      <w:pPr>
        <w:ind w:firstLine="560"/>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2）发电机房通风系统设置平时通风和工艺通风。平时通风设置机械排风系统，换气次数不少于6次/h，由通风器排出室外。工艺排风由电气专业提供的设备选型，根据厂家参数预留工艺排风井。柴油发电机外循环为风冷系统，采用自然补风方式，其补风量为风冷散热器冷却风量、燃烧所需空气量和排除辐射热的排风量三者之和。柴油发电机的排烟（非消防）系统设置湿式销烟箱,高温排烟经水沉淀后室外排放。排烟管采用双层不锈钢（1.0mm厚304不锈钢）夹芯（玻璃棉保温材料50mm厚）成品排烟管道,具体由厂家深化设计施工。</w:t>
      </w:r>
    </w:p>
    <w:p>
      <w:pPr>
        <w:ind w:firstLine="560"/>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3）储油间设事故排风系统，事故排风量按12次/h换气次数计算，风机选用防爆风机，并分别在室内、外便于操作的地点设置电器开关。储油间油箱应密闭，且设置通向室外的通气管，通气管设置带阻火器的呼吸阀。</w:t>
      </w:r>
    </w:p>
    <w:p>
      <w:pPr>
        <w:ind w:firstLine="560"/>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4）电梯机房设置机械通风系统，换气次数不少于15次/h，由排风管道接侧墙排出室外。</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3.8、本工程的通风系统及排烟系统风管均采用镀锌钢板加工制作，风管厚度及做法详"GB50243-2002"；风管在穿越防火分区，机房，变形缝等区域加防火阀；风管的连接：通风及排烟风管采用法兰连接，法兰间普通风管垫δ=5mm密封垫圈, 排烟风管垫δ=5mm防火密封垫圈；风管柔性接头采用耐火细帆布制作；以达到满足防火的要求。</w:t>
      </w:r>
    </w:p>
    <w:p>
      <w:pPr>
        <w:pStyle w:val="2"/>
        <w:rPr>
          <w:color w:val="000000" w:themeColor="text1"/>
          <w:sz w:val="32"/>
          <w:szCs w:val="32"/>
          <w14:textFill>
            <w14:solidFill>
              <w14:schemeClr w14:val="tx1"/>
            </w14:solidFill>
          </w14:textFill>
        </w:rPr>
      </w:pPr>
      <w:bookmarkStart w:id="141" w:name="_Toc8566"/>
      <w:bookmarkStart w:id="142" w:name="_Toc62208868"/>
      <w:bookmarkStart w:id="143" w:name="_Toc39918070"/>
      <w:r>
        <w:rPr>
          <w:rFonts w:hint="eastAsia"/>
          <w:color w:val="000000" w:themeColor="text1"/>
          <w:sz w:val="32"/>
          <w:szCs w:val="32"/>
          <w14:textFill>
            <w14:solidFill>
              <w14:schemeClr w14:val="tx1"/>
            </w14:solidFill>
          </w14:textFill>
        </w:rPr>
        <w:t>四、消防联动</w:t>
      </w:r>
      <w:bookmarkEnd w:id="141"/>
      <w:bookmarkEnd w:id="142"/>
      <w:bookmarkEnd w:id="143"/>
    </w:p>
    <w:p>
      <w:pPr>
        <w:spacing w:line="360" w:lineRule="auto"/>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1.消防控制设备应显示防烟系统的送风机、阀门等设施启闭状态。</w:t>
      </w:r>
    </w:p>
    <w:p>
      <w:pPr>
        <w:spacing w:line="360" w:lineRule="auto"/>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2.械排烟系统与火灾自动报警系统联动，其联动控制应符合现行国家标准《火灾自动报警系统设计规范》GB50116的关规定。</w:t>
      </w:r>
    </w:p>
    <w:p>
      <w:pPr>
        <w:spacing w:line="360" w:lineRule="auto"/>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3.烟风机、补风机的控制方式应符合下列规定：</w:t>
      </w:r>
    </w:p>
    <w:p>
      <w:pPr>
        <w:spacing w:line="360" w:lineRule="auto"/>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1.现场手动启动；</w:t>
      </w:r>
    </w:p>
    <w:p>
      <w:pPr>
        <w:spacing w:line="360" w:lineRule="auto"/>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2.火灾自动报警系统自动启动；</w:t>
      </w:r>
    </w:p>
    <w:p>
      <w:pPr>
        <w:spacing w:line="360" w:lineRule="auto"/>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3.消防控制室手动启动；</w:t>
      </w:r>
    </w:p>
    <w:p>
      <w:pPr>
        <w:spacing w:line="360" w:lineRule="auto"/>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4.系统中任一排烟阀或排烟口开启时，排烟风机、补风机自动启动；</w:t>
      </w:r>
    </w:p>
    <w:p>
      <w:pPr>
        <w:spacing w:line="360" w:lineRule="auto"/>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5.排烟防火阀在280℃时应自行关闭，并应连锁关闭排烟风机和补风机。</w:t>
      </w:r>
    </w:p>
    <w:p>
      <w:pPr>
        <w:spacing w:line="360" w:lineRule="auto"/>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4.械排烟系统中的常闭排烟阀或排烟口应具有火灾自动报警系统自动开启、消防控制室手动开启和现场手动开启功能，其开启信号应与排烟风机联动。当火灾确认后，火灾自动报警系统应在15s内联动开启相应防烟分区的全部排烟阀、排烟口、排烟风机和补风设施，并应在30s内自动关闭与排烟无关的通风、空调系统。</w:t>
      </w:r>
    </w:p>
    <w:p>
      <w:pPr>
        <w:spacing w:line="360" w:lineRule="auto"/>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5.火灾确认后，担负两个及以上防烟分区的排烟系统，应仅打开着火防烟分区的排烟阀或排烟口，其他防烟分区的排烟阀或排烟口应呈关闭状态。</w:t>
      </w:r>
    </w:p>
    <w:p>
      <w:pPr>
        <w:spacing w:line="360" w:lineRule="auto"/>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6.动挡烟垂壁应具有火灾自动报警系统自动开启和现场手动开启功能，当火灾确认后，火灾自动报警系统应在15s内联动相应防烟分区的全部活动挡烟垂壁，60s以内挡烟垂壁应开启到位。</w:t>
      </w:r>
    </w:p>
    <w:p>
      <w:pPr>
        <w:spacing w:line="360" w:lineRule="auto"/>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7.自动排烟窗可采用与火灾自动报警系统联动和温度释放装置联动的控制方式。当采用与火灾自动报警系统自动启动时，自动排烟窗应在60s内或小于烟气充满储烟仓时间内开启完毕。带有温控功能自动排烟窗，其温控释放温度应大于环境温度30℃且小于100℃。</w:t>
      </w:r>
    </w:p>
    <w:p>
      <w:pPr>
        <w:spacing w:line="360" w:lineRule="auto"/>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8.消防控制设备应显示排烟系统的排烟风机、补风机、阀门等设施启闭状态。</w:t>
      </w:r>
    </w:p>
    <w:p>
      <w:pPr>
        <w:spacing w:line="360" w:lineRule="auto"/>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9.对于采用气体消防的地下室高低压配电室等设备间，在送、排风机入口处风管设电控密闭防烟防火阀；当火灾时启动气体灭火系统时，消防控制中心关闭电控密闭防烟防火阀，并联动切断送、排风风机电源。待火灾扑灭后，开启室内排风系统，排走室内残留气体；送、排风机开关箱同时设置在设备间外便于控制。</w:t>
      </w:r>
    </w:p>
    <w:p>
      <w:pPr>
        <w:spacing w:line="360" w:lineRule="auto"/>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10.发生火灾时，由消防控制中心切断除消防排烟风机及消防用风阀以外的所有仅平时用的非消防电源。</w:t>
      </w:r>
    </w:p>
    <w:p>
      <w:pPr>
        <w:pStyle w:val="2"/>
        <w:rPr>
          <w:color w:val="000000" w:themeColor="text1"/>
          <w:sz w:val="32"/>
          <w:szCs w:val="32"/>
          <w14:textFill>
            <w14:solidFill>
              <w14:schemeClr w14:val="tx1"/>
            </w14:solidFill>
          </w14:textFill>
        </w:rPr>
      </w:pPr>
      <w:bookmarkStart w:id="144" w:name="_Toc62208869"/>
      <w:bookmarkStart w:id="145" w:name="_Toc39918071"/>
      <w:bookmarkStart w:id="146" w:name="_Toc13791"/>
      <w:r>
        <w:rPr>
          <w:rFonts w:hint="eastAsia"/>
          <w:color w:val="000000" w:themeColor="text1"/>
          <w:sz w:val="32"/>
          <w:szCs w:val="32"/>
          <w14:textFill>
            <w14:solidFill>
              <w14:schemeClr w14:val="tx1"/>
            </w14:solidFill>
          </w14:textFill>
        </w:rPr>
        <w:t>五、节能</w:t>
      </w:r>
      <w:bookmarkEnd w:id="144"/>
      <w:bookmarkEnd w:id="145"/>
      <w:bookmarkEnd w:id="146"/>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1.在设计过程中严格执行《公共建筑节能设计标准》GB50189-2015；</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2.本工程风机均采用高效、节能设备，并满足《公共建筑节能设计标准》GB50189-2015的要求。风机单位风量耗功率≤0.27。</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3.充分利用当地良好的气候条件，通过可开启的外窗及门，实行自然通风、排烟。</w:t>
      </w:r>
    </w:p>
    <w:p>
      <w:pPr>
        <w:pStyle w:val="2"/>
        <w:rPr>
          <w:color w:val="000000" w:themeColor="text1"/>
          <w:sz w:val="32"/>
          <w:szCs w:val="32"/>
          <w14:textFill>
            <w14:solidFill>
              <w14:schemeClr w14:val="tx1"/>
            </w14:solidFill>
          </w14:textFill>
        </w:rPr>
      </w:pPr>
      <w:bookmarkStart w:id="147" w:name="_Toc39918072"/>
      <w:bookmarkStart w:id="148" w:name="_Toc5847"/>
      <w:bookmarkStart w:id="149" w:name="_Toc62208870"/>
      <w:r>
        <w:rPr>
          <w:rFonts w:hint="eastAsia"/>
          <w:color w:val="000000" w:themeColor="text1"/>
          <w:sz w:val="32"/>
          <w:szCs w:val="32"/>
          <w14:textFill>
            <w14:solidFill>
              <w14:schemeClr w14:val="tx1"/>
            </w14:solidFill>
          </w14:textFill>
        </w:rPr>
        <w:t>六、 消声、减振</w:t>
      </w:r>
      <w:bookmarkEnd w:id="147"/>
      <w:bookmarkEnd w:id="148"/>
      <w:bookmarkEnd w:id="149"/>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1.通风设备设置减振隔震措施。</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2.送回风管、送回风口选择合理的风速，以降低噪音。</w:t>
      </w:r>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3.送、排风机等设备在其进出口风管上设软接隔振。风管上设消声器或消声静压箱。</w:t>
      </w:r>
    </w:p>
    <w:p>
      <w:pPr>
        <w:pStyle w:val="2"/>
        <w:rPr>
          <w:color w:val="000000" w:themeColor="text1"/>
          <w:sz w:val="32"/>
          <w:szCs w:val="32"/>
          <w14:textFill>
            <w14:solidFill>
              <w14:schemeClr w14:val="tx1"/>
            </w14:solidFill>
          </w14:textFill>
        </w:rPr>
      </w:pPr>
      <w:bookmarkStart w:id="150" w:name="_Toc39918073"/>
      <w:bookmarkStart w:id="151" w:name="_Toc8901"/>
      <w:bookmarkStart w:id="152" w:name="_Toc62208871"/>
      <w:r>
        <w:rPr>
          <w:rFonts w:hint="eastAsia"/>
          <w:color w:val="000000" w:themeColor="text1"/>
          <w:sz w:val="32"/>
          <w:szCs w:val="32"/>
          <w14:textFill>
            <w14:solidFill>
              <w14:schemeClr w14:val="tx1"/>
            </w14:solidFill>
          </w14:textFill>
        </w:rPr>
        <w:t>七、主要材料选用</w:t>
      </w:r>
      <w:bookmarkEnd w:id="150"/>
      <w:bookmarkEnd w:id="151"/>
      <w:bookmarkEnd w:id="152"/>
    </w:p>
    <w:p>
      <w:pPr>
        <w:ind w:firstLine="640" w:firstLineChars="200"/>
        <w:rPr>
          <w:rFonts w:cs="宋体"/>
          <w:color w:val="000000" w:themeColor="text1"/>
          <w:kern w:val="0"/>
          <w:sz w:val="32"/>
          <w:szCs w:val="32"/>
          <w14:textFill>
            <w14:solidFill>
              <w14:schemeClr w14:val="tx1"/>
            </w14:solidFill>
          </w14:textFill>
        </w:rPr>
      </w:pPr>
      <w:r>
        <w:rPr>
          <w:rFonts w:hint="eastAsia" w:cs="宋体"/>
          <w:color w:val="000000" w:themeColor="text1"/>
          <w:kern w:val="0"/>
          <w:sz w:val="32"/>
          <w:szCs w:val="32"/>
          <w14:textFill>
            <w14:solidFill>
              <w14:schemeClr w14:val="tx1"/>
            </w14:solidFill>
          </w14:textFill>
        </w:rPr>
        <w:t>风管采用镀锌钢板制作，厚度及作法按国标50243－2016执行。</w:t>
      </w:r>
    </w:p>
    <w:p>
      <w:pPr>
        <w:rPr>
          <w:color w:val="000000" w:themeColor="text1"/>
          <w14:textFill>
            <w14:solidFill>
              <w14:schemeClr w14:val="tx1"/>
            </w14:solidFill>
          </w14:textFill>
        </w:rPr>
      </w:pPr>
    </w:p>
    <w:p>
      <w:pPr>
        <w:pStyle w:val="2"/>
        <w:jc w:val="center"/>
        <w:rPr>
          <w:rFonts w:hint="eastAsia"/>
          <w:color w:val="000000" w:themeColor="text1"/>
          <w14:textFill>
            <w14:solidFill>
              <w14:schemeClr w14:val="tx1"/>
            </w14:solidFill>
          </w14:textFill>
        </w:rPr>
      </w:pPr>
    </w:p>
    <w:p>
      <w:pPr>
        <w:pStyle w:val="2"/>
        <w:jc w:val="both"/>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2"/>
        <w:jc w:val="center"/>
        <w:rPr>
          <w:color w:val="000000" w:themeColor="text1"/>
          <w14:textFill>
            <w14:solidFill>
              <w14:schemeClr w14:val="tx1"/>
            </w14:solidFill>
          </w14:textFill>
        </w:rPr>
      </w:pPr>
      <w:bookmarkStart w:id="153" w:name="_Toc5674"/>
      <w:r>
        <w:rPr>
          <w:rFonts w:hint="eastAsia"/>
          <w:color w:val="000000" w:themeColor="text1"/>
          <w14:textFill>
            <w14:solidFill>
              <w14:schemeClr w14:val="tx1"/>
            </w14:solidFill>
          </w14:textFill>
        </w:rPr>
        <w:t>第十一章  环保</w:t>
      </w:r>
      <w:bookmarkEnd w:id="89"/>
      <w:bookmarkEnd w:id="90"/>
      <w:r>
        <w:rPr>
          <w:rFonts w:hint="eastAsia"/>
          <w:color w:val="000000" w:themeColor="text1"/>
          <w14:textFill>
            <w14:solidFill>
              <w14:schemeClr w14:val="tx1"/>
            </w14:solidFill>
          </w14:textFill>
        </w:rPr>
        <w:t>篇章</w:t>
      </w:r>
      <w:bookmarkEnd w:id="91"/>
      <w:bookmarkEnd w:id="153"/>
    </w:p>
    <w:p>
      <w:pPr>
        <w:pStyle w:val="3"/>
        <w:rPr>
          <w:color w:val="000000" w:themeColor="text1"/>
          <w14:textFill>
            <w14:solidFill>
              <w14:schemeClr w14:val="tx1"/>
            </w14:solidFill>
          </w14:textFill>
        </w:rPr>
      </w:pPr>
      <w:bookmarkStart w:id="154" w:name="_Toc483328227"/>
      <w:bookmarkStart w:id="155" w:name="_Toc19291"/>
      <w:bookmarkStart w:id="156" w:name="_Toc483328663"/>
      <w:bookmarkStart w:id="157" w:name="_Toc9490_WPSOffice_Level2"/>
      <w:r>
        <w:rPr>
          <w:rFonts w:hint="eastAsia"/>
          <w:color w:val="000000" w:themeColor="text1"/>
          <w14:textFill>
            <w14:solidFill>
              <w14:schemeClr w14:val="tx1"/>
            </w14:solidFill>
          </w14:textFill>
        </w:rPr>
        <w:t>11.1建筑设计措施</w:t>
      </w:r>
      <w:bookmarkEnd w:id="154"/>
      <w:bookmarkEnd w:id="155"/>
      <w:bookmarkEnd w:id="156"/>
      <w:bookmarkEnd w:id="157"/>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bookmarkStart w:id="158" w:name="_Toc3028"/>
      <w:bookmarkStart w:id="159" w:name="_Toc90"/>
      <w:r>
        <w:rPr>
          <w:rFonts w:hint="eastAsia" w:asciiTheme="minorEastAsia" w:hAnsiTheme="minorEastAsia" w:eastAsiaTheme="minorEastAsia" w:cstheme="minorEastAsia"/>
          <w:color w:val="000000" w:themeColor="text1"/>
          <w:sz w:val="32"/>
          <w:szCs w:val="32"/>
          <w14:textFill>
            <w14:solidFill>
              <w14:schemeClr w14:val="tx1"/>
            </w14:solidFill>
          </w14:textFill>
        </w:rPr>
        <w:t>1.设计依据</w:t>
      </w:r>
      <w:bookmarkEnd w:id="158"/>
      <w:bookmarkEnd w:id="159"/>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《中华人民共和国环境保护法》及其配套规定和标准</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《建筑项目环境保护管理条例》</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《建设项目环境保护设计规定》</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《民用建筑工程室内环境污染控制规范》</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bookmarkStart w:id="160" w:name="_Toc26148"/>
      <w:bookmarkStart w:id="161" w:name="_Toc25246"/>
      <w:r>
        <w:rPr>
          <w:rFonts w:hint="eastAsia" w:asciiTheme="minorEastAsia" w:hAnsiTheme="minorEastAsia" w:eastAsiaTheme="minorEastAsia" w:cstheme="minorEastAsia"/>
          <w:color w:val="000000" w:themeColor="text1"/>
          <w:sz w:val="32"/>
          <w:szCs w:val="32"/>
          <w14:textFill>
            <w14:solidFill>
              <w14:schemeClr w14:val="tx1"/>
            </w14:solidFill>
          </w14:textFill>
        </w:rPr>
        <w:t>2.设计措施</w:t>
      </w:r>
      <w:bookmarkEnd w:id="160"/>
      <w:bookmarkEnd w:id="161"/>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(1)环保”三同时”原则—环境保护及污染防治设施与主体工程同时设计、同时施工、同时使用。</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 xml:space="preserve">（2）总体规划—污染项目置于水源的下游及主导风向的下风侧。 </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（3）废水污水污染防治—采用雨、污分流制；污水经净化处理排至市政干管。</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（4）固体废弃物污染防治—生活垃圾袋装每天由专人收集，密封清运，集中处理；工业废渣妥善分类，临时堆放贮存，其堆场设防水、防渗漏、防扬散等措施，由环保部门统一清运、集中处理。</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（5）噪声污染防治—控制噪声源，选用低噪声的工艺和设备，施工单位制定适宜的施工时间安排，减少对周围居民及教学取师生影响，施工噪声执行GB12523-90的二次标准。</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（6）室内环境污染控制—室内装修选用对人体健康无毒无害的建筑材料；各类建材所含放射性和非放射性污染物不超过国家规定的控制指标；按《民用建筑工程室内环境污染控制规范》（GB50325-2001）执行。</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（7）生态环境的改善与恢复—设计充分利用地形地貌，尽量不破坏生态环境；建（构）筑物之间保持必要的卫生防护间距；采用地面绿化系统，提高绿地率和绿化率。</w:t>
      </w:r>
    </w:p>
    <w:p>
      <w:pPr>
        <w:pStyle w:val="3"/>
        <w:rPr>
          <w:color w:val="000000" w:themeColor="text1"/>
          <w14:textFill>
            <w14:solidFill>
              <w14:schemeClr w14:val="tx1"/>
            </w14:solidFill>
          </w14:textFill>
        </w:rPr>
      </w:pPr>
      <w:bookmarkStart w:id="162" w:name="_Toc483328664"/>
      <w:bookmarkStart w:id="163" w:name="_Toc1505_WPSOffice_Level2"/>
      <w:bookmarkStart w:id="164" w:name="_Toc32354_WPSOffice_Level2"/>
      <w:bookmarkStart w:id="165" w:name="_Toc483328228"/>
      <w:bookmarkStart w:id="166" w:name="_Toc16091"/>
      <w:r>
        <w:rPr>
          <w:rFonts w:hint="eastAsia"/>
          <w:color w:val="000000" w:themeColor="text1"/>
          <w14:textFill>
            <w14:solidFill>
              <w14:schemeClr w14:val="tx1"/>
            </w14:solidFill>
          </w14:textFill>
        </w:rPr>
        <w:t>11.2给排水环保保护</w:t>
      </w:r>
      <w:bookmarkEnd w:id="162"/>
      <w:bookmarkEnd w:id="163"/>
      <w:bookmarkEnd w:id="164"/>
      <w:bookmarkEnd w:id="165"/>
      <w:bookmarkEnd w:id="166"/>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w:t>
      </w:r>
      <w:r>
        <w:rPr>
          <w:rFonts w:hint="eastAsia" w:asciiTheme="minorEastAsia" w:hAnsiTheme="minorEastAsia" w:eastAsiaTheme="minorEastAsia" w:cstheme="minorEastAsia"/>
          <w:color w:val="000000" w:themeColor="text1"/>
          <w:sz w:val="32"/>
          <w:szCs w:val="32"/>
          <w:lang w:bidi="en-US"/>
          <w14:textFill>
            <w14:solidFill>
              <w14:schemeClr w14:val="tx1"/>
            </w14:solidFill>
          </w14:textFill>
        </w:rPr>
        <w:t>.</w:t>
      </w:r>
      <w:r>
        <w:rPr>
          <w:rFonts w:hint="eastAsia" w:asciiTheme="minorEastAsia" w:hAnsiTheme="minorEastAsia" w:eastAsiaTheme="minorEastAsia" w:cstheme="minorEastAsia"/>
          <w:color w:val="000000" w:themeColor="text1"/>
          <w:sz w:val="32"/>
          <w:szCs w:val="32"/>
          <w14:textFill>
            <w14:solidFill>
              <w14:schemeClr w14:val="tx1"/>
            </w14:solidFill>
          </w14:textFill>
        </w:rPr>
        <w:t>建筑物粪便污水经化粪池处理。</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w:t>
      </w:r>
      <w:r>
        <w:rPr>
          <w:rFonts w:hint="eastAsia" w:asciiTheme="minorEastAsia" w:hAnsiTheme="minorEastAsia" w:eastAsiaTheme="minorEastAsia" w:cstheme="minorEastAsia"/>
          <w:color w:val="000000" w:themeColor="text1"/>
          <w:sz w:val="32"/>
          <w:szCs w:val="32"/>
          <w:lang w:bidi="en-US"/>
          <w14:textFill>
            <w14:solidFill>
              <w14:schemeClr w14:val="tx1"/>
            </w14:solidFill>
          </w14:textFill>
        </w:rPr>
        <w:t>.</w:t>
      </w:r>
      <w:r>
        <w:rPr>
          <w:rFonts w:hint="eastAsia" w:asciiTheme="minorEastAsia" w:hAnsiTheme="minorEastAsia" w:eastAsiaTheme="minorEastAsia" w:cstheme="minorEastAsia"/>
          <w:color w:val="000000" w:themeColor="text1"/>
          <w:sz w:val="32"/>
          <w:szCs w:val="32"/>
          <w14:textFill>
            <w14:solidFill>
              <w14:schemeClr w14:val="tx1"/>
            </w14:solidFill>
          </w14:textFill>
        </w:rPr>
        <w:t>排水立管设伸顶通气管，各卫生洁具均带水封装置或配置存水弯。</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3</w:t>
      </w:r>
      <w:r>
        <w:rPr>
          <w:rFonts w:hint="eastAsia" w:asciiTheme="minorEastAsia" w:hAnsiTheme="minorEastAsia" w:eastAsiaTheme="minorEastAsia" w:cstheme="minorEastAsia"/>
          <w:color w:val="000000" w:themeColor="text1"/>
          <w:sz w:val="32"/>
          <w:szCs w:val="32"/>
          <w:lang w:bidi="en-US"/>
          <w14:textFill>
            <w14:solidFill>
              <w14:schemeClr w14:val="tx1"/>
            </w14:solidFill>
          </w14:textFill>
        </w:rPr>
        <w:t>.</w:t>
      </w:r>
      <w:r>
        <w:rPr>
          <w:rFonts w:hint="eastAsia" w:asciiTheme="minorEastAsia" w:hAnsiTheme="minorEastAsia" w:eastAsiaTheme="minorEastAsia" w:cstheme="minorEastAsia"/>
          <w:color w:val="000000" w:themeColor="text1"/>
          <w:sz w:val="32"/>
          <w:szCs w:val="32"/>
          <w14:textFill>
            <w14:solidFill>
              <w14:schemeClr w14:val="tx1"/>
            </w14:solidFill>
          </w14:textFill>
        </w:rPr>
        <w:t>在管材选择方面</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尽量选择塑料管及各种金属塑料复合管；如：PP-R、PE给水管、钢塑复合管、（UPVC）排水管，UPVC双壁波纹管等，其具有节约能源，保护环境的作用。</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bidi="en-US"/>
          <w14:textFill>
            <w14:solidFill>
              <w14:schemeClr w14:val="tx1"/>
            </w14:solidFill>
          </w14:textFill>
        </w:rPr>
        <w:t>4.</w:t>
      </w:r>
      <w:r>
        <w:rPr>
          <w:rFonts w:hint="eastAsia" w:asciiTheme="minorEastAsia" w:hAnsiTheme="minorEastAsia" w:eastAsiaTheme="minorEastAsia" w:cstheme="minorEastAsia"/>
          <w:color w:val="000000" w:themeColor="text1"/>
          <w:sz w:val="32"/>
          <w:szCs w:val="32"/>
          <w14:textFill>
            <w14:solidFill>
              <w14:schemeClr w14:val="tx1"/>
            </w14:solidFill>
          </w14:textFill>
        </w:rPr>
        <w:t>在排水设施选择方面</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污水检查井选择成品塑料井；化粪池和其他水处理池选用成品环保材料或</w:t>
      </w:r>
      <w:r>
        <w:rPr>
          <w:rFonts w:hint="eastAsia" w:asciiTheme="minorEastAsia" w:hAnsiTheme="minorEastAsia" w:eastAsiaTheme="minorEastAsia" w:cstheme="minorEastAsia"/>
          <w:color w:val="000000" w:themeColor="text1"/>
          <w:sz w:val="32"/>
          <w:szCs w:val="32"/>
          <w:lang w:bidi="en-US"/>
          <w14:textFill>
            <w14:solidFill>
              <w14:schemeClr w14:val="tx1"/>
            </w14:solidFill>
          </w14:textFill>
        </w:rPr>
        <w:t>钢筋混凝土材料</w:t>
      </w:r>
      <w:r>
        <w:rPr>
          <w:rFonts w:hint="eastAsia" w:asciiTheme="minorEastAsia" w:hAnsiTheme="minorEastAsia" w:eastAsiaTheme="minorEastAsia" w:cstheme="minorEastAsia"/>
          <w:color w:val="000000" w:themeColor="text1"/>
          <w:sz w:val="32"/>
          <w:szCs w:val="32"/>
          <w14:textFill>
            <w14:solidFill>
              <w14:schemeClr w14:val="tx1"/>
            </w14:solidFill>
          </w14:textFill>
        </w:rPr>
        <w:t>，严禁选用砖砌或其他有污水渗漏的材料，确保污水不渗漏至地表层，污染土地环境，能够保护环境的作用。</w:t>
      </w:r>
    </w:p>
    <w:p>
      <w:pPr>
        <w:pStyle w:val="3"/>
        <w:rPr>
          <w:color w:val="000000" w:themeColor="text1"/>
          <w14:textFill>
            <w14:solidFill>
              <w14:schemeClr w14:val="tx1"/>
            </w14:solidFill>
          </w14:textFill>
        </w:rPr>
      </w:pPr>
      <w:bookmarkStart w:id="167" w:name="_Toc15059_WPSOffice_Level2"/>
      <w:bookmarkStart w:id="168" w:name="_Toc10127"/>
      <w:bookmarkStart w:id="169" w:name="_Toc4440_WPSOffice_Level2"/>
      <w:r>
        <w:rPr>
          <w:rFonts w:hint="eastAsia"/>
          <w:color w:val="000000" w:themeColor="text1"/>
          <w14:textFill>
            <w14:solidFill>
              <w14:schemeClr w14:val="tx1"/>
            </w14:solidFill>
          </w14:textFill>
        </w:rPr>
        <w:t>11.3 充电桩</w:t>
      </w:r>
      <w:bookmarkEnd w:id="167"/>
      <w:bookmarkEnd w:id="168"/>
      <w:bookmarkEnd w:id="169"/>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充电桩其功能类似于加油站里面的加油机，可以固定在地面或墙壁，安装于公共建筑（公共楼宇、公共停车场等）和充电站内，可以根据不同的电压等级为各种型号的电动汽车充电。充电桩的输入端与交流电网直接连接，输出端都装有充电插头用于为电动汽车充电。充电桩一般提供常规充电和快速充电两种充电方式，人们可以使用特定的充电卡在充电桩提供的人机交互操作界面上刷卡使用，进行相应的充电方式、充电时间、费用数据打印等操作，充电桩显示屏能显示充电量、费用、充电时间等数据。</w:t>
      </w:r>
    </w:p>
    <w:p>
      <w:pPr>
        <w:pStyle w:val="3"/>
        <w:rPr>
          <w:rFonts w:asciiTheme="minorEastAsia" w:hAnsiTheme="minorEastAsia" w:eastAsiaTheme="minorEastAsia" w:cstheme="minorEastAsia"/>
          <w:color w:val="000000" w:themeColor="text1"/>
          <w14:textFill>
            <w14:solidFill>
              <w14:schemeClr w14:val="tx1"/>
            </w14:solidFill>
          </w14:textFill>
        </w:rPr>
      </w:pPr>
      <w:bookmarkStart w:id="170" w:name="_Toc28297"/>
      <w:bookmarkStart w:id="171" w:name="_Toc28300_WPSOffice_Level2"/>
      <w:bookmarkStart w:id="172" w:name="_Toc5639_WPSOffice_Level2"/>
      <w:r>
        <w:rPr>
          <w:rFonts w:hint="eastAsia"/>
          <w:color w:val="000000" w:themeColor="text1"/>
          <w14:textFill>
            <w14:solidFill>
              <w14:schemeClr w14:val="tx1"/>
            </w14:solidFill>
          </w14:textFill>
        </w:rPr>
        <w:t>11.4 雨水花园</w:t>
      </w:r>
      <w:bookmarkEnd w:id="170"/>
      <w:bookmarkEnd w:id="171"/>
      <w:bookmarkEnd w:id="172"/>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雨水花园是自然形成的或人工挖掘的浅凹绿地，被用于汇聚并吸收来自屋顶或地面的雨水，通过植物、沙土的综合作用使雨水得到净化，并使之逐渐渗入土壤，涵养地下水，或使之补给景观用水、厕所用水等城市用水。是一种生态可持续的雨洪控制与雨水利用设施。</w:t>
      </w:r>
    </w:p>
    <w:p>
      <w:pPr>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雨水花园的设计要点：</w:t>
      </w:r>
    </w:p>
    <w:p>
      <w:pPr>
        <w:jc w:val="left"/>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 雨水花园是一块区域或者说一个种植区，但是它并不是孤立地存在的。</w:t>
      </w:r>
    </w:p>
    <w:p>
      <w:pPr>
        <w:jc w:val="left"/>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 在设计建造雨水花园时，需要考虑植物组合、筛选和持续利用等所有规则，不能只考虑雨水花园必须要距离建筑10英尺。</w:t>
      </w:r>
    </w:p>
    <w:p>
      <w:pPr>
        <w:jc w:val="left"/>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3. 可以选择一个经常使用的雨水花园设计模式，但雨水花园并不需要具体的形式，只要它能起到相应的作用，雨水花园的设计可以非常自由，非常具有创造性。</w:t>
      </w:r>
    </w:p>
    <w:p>
      <w:pPr>
        <w:jc w:val="left"/>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4. 雨水花园可以非常正式也可以很随意，这是由雨水花园中选择的植物来决定的。大量使用一种植物的雨水花园是可以的，只要它符合园林的整体设计。</w:t>
      </w:r>
    </w:p>
    <w:p>
      <w:pPr>
        <w:jc w:val="left"/>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5. 雨水花园的植被不是一定要和其他的植被分割开来。多年生植物种植槽或者灌木种植槽都可以成为迷人的雨水花园，特别是在你没有更大的空间建设一个规模较大的雨水花园的时候。</w:t>
      </w:r>
    </w:p>
    <w:p>
      <w:pPr>
        <w:jc w:val="left"/>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6. 雨水花园中“海绵体”要有重复性和连续性。使雨水花园能与整体设计融为一体，可以在每一处落水口都要做一个小型雨水花园。</w:t>
      </w:r>
    </w:p>
    <w:p>
      <w:pPr>
        <w:pStyle w:val="3"/>
        <w:rPr>
          <w:color w:val="000000" w:themeColor="text1"/>
          <w14:textFill>
            <w14:solidFill>
              <w14:schemeClr w14:val="tx1"/>
            </w14:solidFill>
          </w14:textFill>
        </w:rPr>
      </w:pPr>
      <w:bookmarkStart w:id="173" w:name="_Toc2981_WPSOffice_Level2"/>
      <w:bookmarkStart w:id="174" w:name="_Toc30278"/>
      <w:bookmarkStart w:id="175" w:name="_Toc26551_WPSOffice_Level2"/>
      <w:r>
        <w:rPr>
          <w:rFonts w:hint="eastAsia"/>
          <w:color w:val="000000" w:themeColor="text1"/>
          <w14:textFill>
            <w14:solidFill>
              <w14:schemeClr w14:val="tx1"/>
            </w14:solidFill>
          </w14:textFill>
        </w:rPr>
        <w:t>11.5 中水合用</w:t>
      </w:r>
      <w:bookmarkEnd w:id="173"/>
      <w:bookmarkEnd w:id="174"/>
      <w:bookmarkEnd w:id="175"/>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中水”一词是相对于上水〔给水〕、下水〔排水〕而言的。中水回用技术是指将学校生活废〔污〕水（沐浴、盥洗、洗衣、厨房、厕所）集中处理后，达到一定的标准回用于学校的绿化浇灌、车辆冲洗、道路冲洗、坐便器冲洗等，从而达到节约用水的目的。该系统的中水水源取自学校建筑内各建筑物所产生的杂排水。</w:t>
      </w:r>
    </w:p>
    <w:p>
      <w:pPr>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优点：1.节约水资源：中水回用技术以使社会的可用水量在一定程度上有了增加，而且中水回用设备对自来水的补充和替代作用有助于满足农业和工业发展及人口增加对水的需求。</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经济效益：对于处理后的污水可作为一些杂用的水源，就整个工程来讲，虽说有建设资金的投入，但中水就近回用，水量有保证，输送距离短，并且由于减少了供水和排水的水量，从而减轻了给水排水管网和处理工程的负荷，并且在经济方面来看减轻了经济负担。</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3.减轻地下水资源的负担，减轻对地下水资源的污染，有效缓解因地下水超采而引发的地表沉降等环境问题。</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4.有利于减轻对天然地表水的开发强度，缓解天然河流缺水断流问题，进而减轻因河流缺水而造成的其它环境问题。</w:t>
      </w:r>
    </w:p>
    <w:p>
      <w:pPr>
        <w:pStyle w:val="2"/>
        <w:jc w:val="center"/>
        <w:rPr>
          <w:rFonts w:hint="eastAsia"/>
          <w:color w:val="000000" w:themeColor="text1"/>
          <w14:textFill>
            <w14:solidFill>
              <w14:schemeClr w14:val="tx1"/>
            </w14:solidFill>
          </w14:textFill>
        </w:rPr>
      </w:pPr>
      <w:bookmarkStart w:id="176" w:name="_Toc483328665"/>
      <w:bookmarkStart w:id="177" w:name="_Toc483328229"/>
      <w:bookmarkStart w:id="178" w:name="_Toc37_WPSOffice_Level1"/>
      <w:bookmarkStart w:id="179" w:name="_Toc14852_WPSOffice_Level1"/>
    </w:p>
    <w:p>
      <w:pPr>
        <w:pStyle w:val="2"/>
        <w:jc w:val="center"/>
        <w:rPr>
          <w:rFonts w:hint="eastAsia"/>
          <w:color w:val="000000" w:themeColor="text1"/>
          <w14:textFill>
            <w14:solidFill>
              <w14:schemeClr w14:val="tx1"/>
            </w14:solidFill>
          </w14:textFill>
        </w:rPr>
      </w:pPr>
    </w:p>
    <w:p>
      <w:pPr>
        <w:pStyle w:val="2"/>
        <w:jc w:val="center"/>
        <w:rPr>
          <w:color w:val="000000" w:themeColor="text1"/>
          <w14:textFill>
            <w14:solidFill>
              <w14:schemeClr w14:val="tx1"/>
            </w14:solidFill>
          </w14:textFill>
        </w:rPr>
      </w:pPr>
      <w:bookmarkStart w:id="180" w:name="_Toc26944"/>
      <w:r>
        <w:rPr>
          <w:rFonts w:hint="eastAsia"/>
          <w:color w:val="000000" w:themeColor="text1"/>
          <w14:textFill>
            <w14:solidFill>
              <w14:schemeClr w14:val="tx1"/>
            </w14:solidFill>
          </w14:textFill>
        </w:rPr>
        <w:t>第十二章   节能设计说明</w:t>
      </w:r>
      <w:bookmarkEnd w:id="176"/>
      <w:bookmarkEnd w:id="177"/>
      <w:bookmarkEnd w:id="178"/>
      <w:bookmarkEnd w:id="179"/>
      <w:bookmarkEnd w:id="180"/>
    </w:p>
    <w:p>
      <w:pPr>
        <w:pStyle w:val="3"/>
        <w:rPr>
          <w:color w:val="000000" w:themeColor="text1"/>
          <w14:textFill>
            <w14:solidFill>
              <w14:schemeClr w14:val="tx1"/>
            </w14:solidFill>
          </w14:textFill>
        </w:rPr>
      </w:pPr>
      <w:bookmarkStart w:id="181" w:name="_Toc13966_WPSOffice_Level2"/>
      <w:bookmarkStart w:id="182" w:name="_Toc483328666"/>
      <w:bookmarkStart w:id="183" w:name="_Toc981_WPSOffice_Level2"/>
      <w:bookmarkStart w:id="184" w:name="_Toc483328230"/>
      <w:bookmarkStart w:id="185" w:name="_Toc20784"/>
      <w:r>
        <w:rPr>
          <w:rFonts w:hint="eastAsia"/>
          <w:color w:val="000000" w:themeColor="text1"/>
          <w14:textFill>
            <w14:solidFill>
              <w14:schemeClr w14:val="tx1"/>
            </w14:solidFill>
          </w14:textFill>
        </w:rPr>
        <w:t>12.1设计依据</w:t>
      </w:r>
      <w:bookmarkEnd w:id="181"/>
      <w:bookmarkEnd w:id="182"/>
      <w:bookmarkEnd w:id="183"/>
      <w:bookmarkEnd w:id="184"/>
      <w:bookmarkEnd w:id="185"/>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《公共建筑节能设计标准》GB50189-2015</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 xml:space="preserve">《云南省民用建筑节能设计标准》DBJ53/T-39-2011       </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《民用建筑节水设计标准》GB50555—2010</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《建筑照明设计标准》（GB 50034-2013）</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《民用建筑太阳能热水系统应用技术规范》 GB50364-2005</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《太阳能热水系统设计、安装及工程验收技术规范》GB/T18713-2002</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《太阳能热水系统与建筑一体化设计施工技术规程》DBJ53-18-2007</w:t>
      </w:r>
    </w:p>
    <w:p>
      <w:pPr>
        <w:pStyle w:val="3"/>
        <w:rPr>
          <w:color w:val="000000" w:themeColor="text1"/>
          <w14:textFill>
            <w14:solidFill>
              <w14:schemeClr w14:val="tx1"/>
            </w14:solidFill>
          </w14:textFill>
        </w:rPr>
      </w:pPr>
      <w:bookmarkStart w:id="186" w:name="_Toc28216_WPSOffice_Level2"/>
      <w:bookmarkStart w:id="187" w:name="_Toc30840"/>
      <w:bookmarkStart w:id="188" w:name="_Toc483328667"/>
      <w:bookmarkStart w:id="189" w:name="_Toc10958_WPSOffice_Level2"/>
      <w:bookmarkStart w:id="190" w:name="_Toc483328231"/>
      <w:r>
        <w:rPr>
          <w:rFonts w:hint="eastAsia"/>
          <w:color w:val="000000" w:themeColor="text1"/>
          <w14:textFill>
            <w14:solidFill>
              <w14:schemeClr w14:val="tx1"/>
            </w14:solidFill>
          </w14:textFill>
        </w:rPr>
        <w:t>12.2建筑节能设计措施</w:t>
      </w:r>
      <w:bookmarkEnd w:id="186"/>
      <w:bookmarkEnd w:id="187"/>
      <w:bookmarkEnd w:id="188"/>
      <w:bookmarkEnd w:id="189"/>
      <w:bookmarkEnd w:id="190"/>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bookmarkStart w:id="191" w:name="_Toc15330"/>
      <w:r>
        <w:rPr>
          <w:rFonts w:hint="eastAsia" w:asciiTheme="minorEastAsia" w:hAnsiTheme="minorEastAsia" w:eastAsiaTheme="minorEastAsia" w:cstheme="minorEastAsia"/>
          <w:color w:val="000000" w:themeColor="text1"/>
          <w:sz w:val="32"/>
          <w:szCs w:val="32"/>
          <w14:textFill>
            <w14:solidFill>
              <w14:schemeClr w14:val="tx1"/>
            </w14:solidFill>
          </w14:textFill>
        </w:rPr>
        <w:t>1.总体规划节能措施</w:t>
      </w:r>
      <w:bookmarkEnd w:id="191"/>
    </w:p>
    <w:p>
      <w:pPr>
        <w:ind w:firstLine="640" w:firstLineChars="200"/>
        <w:rPr>
          <w:rFonts w:hint="default"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良好的朝向—建筑为</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南北向。</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适宜的间距—符合民用建筑设计统一标准和大理</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州</w:t>
      </w:r>
      <w:r>
        <w:rPr>
          <w:rFonts w:hint="eastAsia" w:asciiTheme="minorEastAsia" w:hAnsiTheme="minorEastAsia" w:eastAsiaTheme="minorEastAsia" w:cstheme="minorEastAsia"/>
          <w:color w:val="000000" w:themeColor="text1"/>
          <w:sz w:val="32"/>
          <w:szCs w:val="32"/>
          <w14:textFill>
            <w14:solidFill>
              <w14:schemeClr w14:val="tx1"/>
            </w14:solidFill>
          </w14:textFill>
        </w:rPr>
        <w:t>城市</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建设项目</w:t>
      </w:r>
      <w:r>
        <w:rPr>
          <w:rFonts w:hint="eastAsia" w:asciiTheme="minorEastAsia" w:hAnsiTheme="minorEastAsia" w:eastAsiaTheme="minorEastAsia" w:cstheme="minorEastAsia"/>
          <w:color w:val="000000" w:themeColor="text1"/>
          <w:sz w:val="32"/>
          <w:szCs w:val="32"/>
          <w14:textFill>
            <w14:solidFill>
              <w14:schemeClr w14:val="tx1"/>
            </w14:solidFill>
          </w14:textFill>
        </w:rPr>
        <w:t>规划管理技术规定文件的要求。</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良好的自然通风—整个建筑自然通风顺畅，无“风影区”。</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bookmarkStart w:id="192" w:name="_Toc219"/>
      <w:r>
        <w:rPr>
          <w:rFonts w:hint="eastAsia" w:asciiTheme="minorEastAsia" w:hAnsiTheme="minorEastAsia" w:eastAsiaTheme="minorEastAsia" w:cstheme="minorEastAsia"/>
          <w:color w:val="000000" w:themeColor="text1"/>
          <w:sz w:val="32"/>
          <w:szCs w:val="32"/>
          <w14:textFill>
            <w14:solidFill>
              <w14:schemeClr w14:val="tx1"/>
            </w14:solidFill>
          </w14:textFill>
        </w:rPr>
        <w:t>2.单体建筑设计方面</w:t>
      </w:r>
      <w:bookmarkEnd w:id="192"/>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采用简单规整的体形，尽量缩小体形系数。</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组织良好的穿堂风—尽可能两对侧开窗，形成良好的穿堂风，有利于夏季降温。合适的窗墙比（1/4～1/8）</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节能门窗：</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a、建筑门窗全周边高性能密封技术控制。</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b、根据节能规范，大理属VB区，幕墙的保温性能达到Ⅳ级。</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c、在重点部分采用Low-E（低辐射）玻璃。</w:t>
      </w:r>
    </w:p>
    <w:p>
      <w:pPr>
        <w:pStyle w:val="3"/>
        <w:rPr>
          <w:color w:val="000000" w:themeColor="text1"/>
          <w14:textFill>
            <w14:solidFill>
              <w14:schemeClr w14:val="tx1"/>
            </w14:solidFill>
          </w14:textFill>
        </w:rPr>
      </w:pPr>
      <w:bookmarkStart w:id="193" w:name="_Toc19800_WPSOffice_Level2"/>
      <w:bookmarkStart w:id="194" w:name="_Toc19191_WPSOffice_Level2"/>
      <w:bookmarkStart w:id="195" w:name="_Toc16450"/>
      <w:r>
        <w:rPr>
          <w:rFonts w:hint="eastAsia"/>
          <w:color w:val="000000" w:themeColor="text1"/>
          <w14:textFill>
            <w14:solidFill>
              <w14:schemeClr w14:val="tx1"/>
            </w14:solidFill>
          </w14:textFill>
        </w:rPr>
        <w:t>12.3给排水节能设计措施</w:t>
      </w:r>
      <w:bookmarkEnd w:id="193"/>
      <w:bookmarkEnd w:id="194"/>
      <w:bookmarkEnd w:id="195"/>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bookmarkStart w:id="196" w:name="_Toc10037"/>
      <w:r>
        <w:rPr>
          <w:rFonts w:hint="eastAsia" w:asciiTheme="minorEastAsia" w:hAnsiTheme="minorEastAsia" w:eastAsiaTheme="minorEastAsia" w:cstheme="minorEastAsia"/>
          <w:color w:val="000000" w:themeColor="text1"/>
          <w:sz w:val="32"/>
          <w:szCs w:val="32"/>
          <w14:textFill>
            <w14:solidFill>
              <w14:schemeClr w14:val="tx1"/>
            </w14:solidFill>
          </w14:textFill>
        </w:rPr>
        <w:t>1.给水系统</w:t>
      </w:r>
      <w:bookmarkEnd w:id="196"/>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（1）地下层～地上各层生活用水由市政水压供水，充分利用市政管网压力，不设加压供水设施减少电能的消耗。</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（2）当有给水泵时候选用高效、节能型水泵，水泵工作点位于水泵效率曲线的高效区内，所有水泵均设隔振装置。</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3）卫生间内卫生洁具均选用节水型产品。采用的用水器具，必须符合城镇建设行业标准《节水型生活用水器具》CJ/T164-2014要求。其中：卫生间内的坐便器采用容积为不大于6L的冲洗水箱；公共卫生间洗手盆采用感应式龙头；蹲式大便器采用液压脚踏式大便器；小便器冲洗选用感应式冲洗阀；所有龙头均采用陶瓷阀芯产品。</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（4）水池、水箱溢流水位设报警装置，防止进水管阀门故障时，水池、水箱长时间溢流排水。</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（5）给水系统采用竖向分区方式，控制最不利处用水器具的静水压力不超过0.45MPa。</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（6）按使用功能设置水表计量用水量，景观用水水源不得采用市政自来水和地下井水。</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（7）用水量根据《民用建筑节水设计标准》（GB50555-2010）规范取值。</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（8）热水供应系统</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采用</w:t>
      </w:r>
      <w:r>
        <w:rPr>
          <w:rFonts w:hint="eastAsia" w:asciiTheme="minorEastAsia" w:hAnsiTheme="minorEastAsia" w:eastAsiaTheme="minorEastAsia" w:cstheme="minorEastAsia"/>
          <w:color w:val="000000" w:themeColor="text1"/>
          <w:sz w:val="32"/>
          <w:szCs w:val="32"/>
          <w14:textFill>
            <w14:solidFill>
              <w14:schemeClr w14:val="tx1"/>
            </w14:solidFill>
          </w14:textFill>
        </w:rPr>
        <w:t>太阳能热水器和空气源热泵结合供应，减少电、煤等能源能的消耗。</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（9）景观绿化采用喷灌、微灌等高效节水灌溉方式，节约用水。</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10）给水管采用热熔连接，选用管内壁光滑、阻力小的给水管材，减小漏损，选用性能高的阀门、零泄漏阀门等，屋顶、外墙外漏部分、和室内明敷热水管、热水水箱均须做保温措施，其余未提及管件及卫生洁具等安装与节能均按照国家有关规定标准进行采购施工。</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bookmarkStart w:id="197" w:name="_Toc10472"/>
      <w:r>
        <w:rPr>
          <w:rFonts w:hint="eastAsia" w:asciiTheme="minorEastAsia" w:hAnsiTheme="minorEastAsia" w:eastAsiaTheme="minorEastAsia" w:cstheme="minorEastAsia"/>
          <w:color w:val="000000" w:themeColor="text1"/>
          <w:sz w:val="32"/>
          <w:szCs w:val="32"/>
          <w14:textFill>
            <w14:solidFill>
              <w14:schemeClr w14:val="tx1"/>
            </w14:solidFill>
          </w14:textFill>
        </w:rPr>
        <w:t>2.排水系统</w:t>
      </w:r>
      <w:bookmarkEnd w:id="197"/>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（1）雨水、污水重力自流排出，避免及减少水泵提升，节约用电。</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（2）设置雨水回收利用系统：屋顶雨水和室外场地雨水统一收集回收利用，排至雨水收集池，回收的雨水用途为：中心景观水池用水、绿化用水、汽车冲洗用水、路面、地面冲洗用水、环卫打扫用水。</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3）设置中水回收系统：中水水源为：卫生间、浴室的盆浴和淋浴的排水；盥洗排水；空调循环冷却系统排污水；冷凝水；游泳池排污水；洗衣排水；厨房排水；冲厕排水。回收的中水用途为：景观、绿化用水；中水也可以用于农作物、蔬菜浇灌用水。</w:t>
      </w:r>
    </w:p>
    <w:p>
      <w:pPr>
        <w:pStyle w:val="22"/>
        <w:jc w:val="both"/>
        <w:outlineLvl w:val="1"/>
        <w:rPr>
          <w:rFonts w:ascii="Arial" w:hAnsi="Arial" w:eastAsia="黑体"/>
          <w:color w:val="000000" w:themeColor="text1"/>
          <w:sz w:val="30"/>
          <w:szCs w:val="30"/>
          <w14:textFill>
            <w14:solidFill>
              <w14:schemeClr w14:val="tx1"/>
            </w14:solidFill>
          </w14:textFill>
        </w:rPr>
      </w:pPr>
      <w:bookmarkStart w:id="198" w:name="_Toc24366"/>
      <w:bookmarkStart w:id="199" w:name="_Toc17163_WPSOffice_Level2"/>
      <w:bookmarkStart w:id="200" w:name="_Toc25268_WPSOffice_Level2"/>
      <w:r>
        <w:rPr>
          <w:rFonts w:hint="eastAsia" w:ascii="Arial" w:hAnsi="Arial" w:eastAsia="黑体"/>
          <w:color w:val="000000" w:themeColor="text1"/>
          <w:sz w:val="30"/>
          <w:szCs w:val="30"/>
          <w14:textFill>
            <w14:solidFill>
              <w14:schemeClr w14:val="tx1"/>
            </w14:solidFill>
          </w14:textFill>
        </w:rPr>
        <w:t>12.4电气节能设计措施</w:t>
      </w:r>
      <w:bookmarkEnd w:id="198"/>
      <w:bookmarkEnd w:id="199"/>
      <w:bookmarkEnd w:id="200"/>
    </w:p>
    <w:p>
      <w:pPr>
        <w:ind w:firstLine="800" w:firstLineChars="25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4.1供配电系统</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（1）供配电系统的三相不平衡度小于15%，采用分相无功自动补偿装置进行无功补偿。</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 选用D，</w:t>
      </w:r>
      <w:r>
        <w:rPr>
          <w:rFonts w:asciiTheme="minorEastAsia" w:hAnsiTheme="minorEastAsia" w:eastAsiaTheme="minorEastAsia" w:cstheme="minorEastAsia"/>
          <w:color w:val="000000" w:themeColor="text1"/>
          <w:sz w:val="32"/>
          <w:szCs w:val="32"/>
          <w14:textFill>
            <w14:solidFill>
              <w14:schemeClr w14:val="tx1"/>
            </w14:solidFill>
          </w14:textFill>
        </w:rPr>
        <w:t>yn11</w:t>
      </w:r>
      <w:r>
        <w:rPr>
          <w:rFonts w:hint="eastAsia" w:asciiTheme="minorEastAsia" w:hAnsiTheme="minorEastAsia" w:eastAsiaTheme="minorEastAsia" w:cstheme="minorEastAsia"/>
          <w:color w:val="000000" w:themeColor="text1"/>
          <w:sz w:val="32"/>
          <w:szCs w:val="32"/>
          <w14:textFill>
            <w14:solidFill>
              <w14:schemeClr w14:val="tx1"/>
            </w14:solidFill>
          </w14:textFill>
        </w:rPr>
        <w:t>组别的变压器，限制三次谐波；主要谐波源设备配套有源滤波装置抑制和治理高次谐波，使其谐波符合国家和地方标准的谐波限值规定；在变配电室预留有源滤波器安装位置, 其具体设备参数应在变配电室投入运行后,对谐波实测分析后确定, 使变配电室低压进线上谐波符合国家和地方标准的谐波限值规定。</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bookmarkStart w:id="201" w:name="_Toc468364786"/>
      <w:bookmarkStart w:id="202" w:name="_Toc469862522"/>
      <w:bookmarkStart w:id="203" w:name="_Toc469926650"/>
      <w:r>
        <w:rPr>
          <w:rFonts w:hint="eastAsia" w:asciiTheme="minorEastAsia" w:hAnsiTheme="minorEastAsia" w:eastAsiaTheme="minorEastAsia" w:cstheme="minorEastAsia"/>
          <w:color w:val="000000" w:themeColor="text1"/>
          <w:sz w:val="32"/>
          <w:szCs w:val="32"/>
          <w14:textFill>
            <w14:solidFill>
              <w14:schemeClr w14:val="tx1"/>
            </w14:solidFill>
          </w14:textFill>
        </w:rPr>
        <w:t>4.2照明</w:t>
      </w:r>
      <w:bookmarkEnd w:id="201"/>
      <w:bookmarkEnd w:id="202"/>
      <w:bookmarkEnd w:id="203"/>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1.夜景照明设计由专业照明设计公司负责，夜景照明设计应严格控制夜间的夜景照明产生的光污染，控制措施包括：</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 夜景照明的照明光线严格控制在场地内，超出场地的溢散光不超过15%；严格控制夜景照明设施对公寓等建筑产生干扰光，并满足《城市夜景照明设计规范》JGJ/T163中第7.0.2条的规定。</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(2)合理设置夜景照明运行时段，及时关闭部分或全部景观照明内透光照明</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(3)因本项目采用玻璃幕墙和表面材料反射比低于0.2的建筑立面，故夜景照明应采用内透光照明与轮廓照明相结合的方式，不采用泛光照明方式。当所选用的灯具初始灯光通量超过1000Lm时，采用遮光措施防止光污染。</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2.以充分利用天然采光为目标，选用高效光源和节能灯具，并符合以下要求：</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(1)照度、眩光值(UGR)、照明光源的色温应符合现行国家标准《</w:t>
      </w:r>
      <w:r>
        <w:rPr>
          <w:rFonts w:asciiTheme="minorEastAsia" w:hAnsiTheme="minorEastAsia" w:eastAsiaTheme="minorEastAsia" w:cstheme="minorEastAsia"/>
          <w:color w:val="000000" w:themeColor="text1"/>
          <w:sz w:val="32"/>
          <w:szCs w:val="32"/>
          <w14:textFill>
            <w14:solidFill>
              <w14:schemeClr w14:val="tx1"/>
            </w14:solidFill>
          </w14:textFill>
        </w:rPr>
        <w:t>建筑照明设计标准</w:t>
      </w:r>
      <w:r>
        <w:rPr>
          <w:rFonts w:hint="eastAsia" w:asciiTheme="minorEastAsia" w:hAnsiTheme="minorEastAsia" w:eastAsiaTheme="minorEastAsia" w:cstheme="minorEastAsia"/>
          <w:color w:val="000000" w:themeColor="text1"/>
          <w:sz w:val="32"/>
          <w:szCs w:val="32"/>
          <w14:textFill>
            <w14:solidFill>
              <w14:schemeClr w14:val="tx1"/>
            </w14:solidFill>
          </w14:textFill>
        </w:rPr>
        <w:t>》GB50034-2013的规定，人员长期工作或停留的房间或场所的照明光源显色指数不小于80。</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(2)公共区域的照明功率密度值不高于《</w:t>
      </w:r>
      <w:r>
        <w:rPr>
          <w:rFonts w:asciiTheme="minorEastAsia" w:hAnsiTheme="minorEastAsia" w:eastAsiaTheme="minorEastAsia" w:cstheme="minorEastAsia"/>
          <w:color w:val="000000" w:themeColor="text1"/>
          <w:sz w:val="32"/>
          <w:szCs w:val="32"/>
          <w14:textFill>
            <w14:solidFill>
              <w14:schemeClr w14:val="tx1"/>
            </w14:solidFill>
          </w14:textFill>
        </w:rPr>
        <w:t>建筑照明设计标准</w:t>
      </w:r>
      <w:r>
        <w:rPr>
          <w:rFonts w:hint="eastAsia" w:asciiTheme="minorEastAsia" w:hAnsiTheme="minorEastAsia" w:eastAsiaTheme="minorEastAsia" w:cstheme="minorEastAsia"/>
          <w:color w:val="000000" w:themeColor="text1"/>
          <w:sz w:val="32"/>
          <w:szCs w:val="32"/>
          <w14:textFill>
            <w14:solidFill>
              <w14:schemeClr w14:val="tx1"/>
            </w14:solidFill>
          </w14:textFill>
        </w:rPr>
        <w:t>》GB50034-2013规定的目标值，公共建筑其他区域的照明功率密度值不高于《</w:t>
      </w:r>
      <w:r>
        <w:rPr>
          <w:rFonts w:asciiTheme="minorEastAsia" w:hAnsiTheme="minorEastAsia" w:eastAsiaTheme="minorEastAsia" w:cstheme="minorEastAsia"/>
          <w:color w:val="000000" w:themeColor="text1"/>
          <w:sz w:val="32"/>
          <w:szCs w:val="32"/>
          <w14:textFill>
            <w14:solidFill>
              <w14:schemeClr w14:val="tx1"/>
            </w14:solidFill>
          </w14:textFill>
        </w:rPr>
        <w:t>建筑照明设计标准</w:t>
      </w:r>
      <w:r>
        <w:rPr>
          <w:rFonts w:hint="eastAsia" w:asciiTheme="minorEastAsia" w:hAnsiTheme="minorEastAsia" w:eastAsiaTheme="minorEastAsia" w:cstheme="minorEastAsia"/>
          <w:color w:val="000000" w:themeColor="text1"/>
          <w:sz w:val="32"/>
          <w:szCs w:val="32"/>
          <w14:textFill>
            <w14:solidFill>
              <w14:schemeClr w14:val="tx1"/>
            </w14:solidFill>
          </w14:textFill>
        </w:rPr>
        <w:t>》GB50034-2013规定的现行值。</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(3)公共建筑的计算范围为所有区域。</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(4)照明系统按不同分区（自然光利用分区、功能分区、作息差异分区）进行设计。公共区域，如走廊、楼梯间、门厅、大堂、大空间、地下停车场等场所（人员密集场所除外）的照明系统采取声控、光控、定时控制、感应控制的一种或多种结合的节能控制措施，或采取照度调节的节能控制装置。</w:t>
      </w:r>
    </w:p>
    <w:p>
      <w:pPr>
        <w:ind w:firstLine="800" w:firstLineChars="250"/>
        <w:rPr>
          <w:rFonts w:asciiTheme="minorEastAsia" w:hAnsiTheme="minorEastAsia" w:eastAsiaTheme="minorEastAsia" w:cstheme="minorEastAsia"/>
          <w:color w:val="000000" w:themeColor="text1"/>
          <w:sz w:val="32"/>
          <w:szCs w:val="32"/>
          <w14:textFill>
            <w14:solidFill>
              <w14:schemeClr w14:val="tx1"/>
            </w14:solidFill>
          </w14:textFill>
        </w:rPr>
      </w:pPr>
      <w:bookmarkStart w:id="204" w:name="_Toc469926651"/>
      <w:bookmarkStart w:id="205" w:name="_Toc468364787"/>
      <w:bookmarkStart w:id="206" w:name="_Toc469862523"/>
      <w:r>
        <w:rPr>
          <w:rFonts w:hint="eastAsia" w:asciiTheme="minorEastAsia" w:hAnsiTheme="minorEastAsia" w:eastAsiaTheme="minorEastAsia" w:cstheme="minorEastAsia"/>
          <w:color w:val="000000" w:themeColor="text1"/>
          <w:sz w:val="32"/>
          <w:szCs w:val="32"/>
          <w14:textFill>
            <w14:solidFill>
              <w14:schemeClr w14:val="tx1"/>
            </w14:solidFill>
          </w14:textFill>
        </w:rPr>
        <w:t>4.3电气设备节能</w:t>
      </w:r>
      <w:bookmarkEnd w:id="204"/>
      <w:bookmarkEnd w:id="205"/>
      <w:bookmarkEnd w:id="206"/>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 xml:space="preserve"> 电气设备采用效率高、能耗低、性能先进的电气产品，并符合下列要求：</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（1）采用先进控制技术的电梯。自动扶梯应具有节能拖动及节能控制装置。当采用2台及以上的电梯集中布置时，其控制系统应具备按程序集中调控和群控的功能。</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（2）配电变压器选用D,yn11接线组别的变压器，其能效应达到现行国家标准《三相配电变压器能效限定值及节能评价值》GB20052中规定的节能评价值的要求。</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（3）电梯电机能效应符合现行国家标准《中小型三相异步电动机能效限定值及能效等级》GB18613规定的2级及2级以上能效指标的要求。</w:t>
      </w:r>
    </w:p>
    <w:p>
      <w:pPr>
        <w:ind w:firstLine="800" w:firstLineChars="250"/>
        <w:rPr>
          <w:rFonts w:asciiTheme="minorEastAsia" w:hAnsiTheme="minorEastAsia" w:eastAsiaTheme="minorEastAsia" w:cstheme="minorEastAsia"/>
          <w:color w:val="000000" w:themeColor="text1"/>
          <w:sz w:val="32"/>
          <w:szCs w:val="32"/>
          <w14:textFill>
            <w14:solidFill>
              <w14:schemeClr w14:val="tx1"/>
            </w14:solidFill>
          </w14:textFill>
        </w:rPr>
      </w:pPr>
      <w:bookmarkStart w:id="207" w:name="_Toc469862524"/>
      <w:bookmarkStart w:id="208" w:name="_Toc468364788"/>
      <w:bookmarkStart w:id="209" w:name="_Toc469926652"/>
      <w:r>
        <w:rPr>
          <w:rFonts w:hint="eastAsia" w:asciiTheme="minorEastAsia" w:hAnsiTheme="minorEastAsia" w:eastAsiaTheme="minorEastAsia" w:cstheme="minorEastAsia"/>
          <w:color w:val="000000" w:themeColor="text1"/>
          <w:sz w:val="32"/>
          <w:szCs w:val="32"/>
          <w14:textFill>
            <w14:solidFill>
              <w14:schemeClr w14:val="tx1"/>
            </w14:solidFill>
          </w14:textFill>
        </w:rPr>
        <w:t>4.4用电计量</w:t>
      </w:r>
      <w:bookmarkEnd w:id="207"/>
      <w:bookmarkEnd w:id="208"/>
      <w:bookmarkEnd w:id="209"/>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w:t>
      </w:r>
      <w:r>
        <w:rPr>
          <w:rFonts w:asciiTheme="minorEastAsia" w:hAnsiTheme="minorEastAsia" w:eastAsiaTheme="minorEastAsia" w:cstheme="minorEastAsia"/>
          <w:color w:val="000000" w:themeColor="text1"/>
          <w:sz w:val="32"/>
          <w:szCs w:val="32"/>
          <w14:textFill>
            <w14:solidFill>
              <w14:schemeClr w14:val="tx1"/>
            </w14:solidFill>
          </w14:textFill>
        </w:rPr>
        <w:t>按照明</w:t>
      </w:r>
      <w:r>
        <w:rPr>
          <w:rFonts w:hint="eastAsia" w:asciiTheme="minorEastAsia" w:hAnsiTheme="minorEastAsia" w:eastAsiaTheme="minorEastAsia" w:cstheme="minorEastAsia"/>
          <w:color w:val="000000" w:themeColor="text1"/>
          <w:sz w:val="32"/>
          <w:szCs w:val="32"/>
          <w14:textFill>
            <w14:solidFill>
              <w14:schemeClr w14:val="tx1"/>
            </w14:solidFill>
          </w14:textFill>
        </w:rPr>
        <w:t>、</w:t>
      </w:r>
      <w:r>
        <w:rPr>
          <w:rFonts w:asciiTheme="minorEastAsia" w:hAnsiTheme="minorEastAsia" w:eastAsiaTheme="minorEastAsia" w:cstheme="minorEastAsia"/>
          <w:color w:val="000000" w:themeColor="text1"/>
          <w:sz w:val="32"/>
          <w:szCs w:val="32"/>
          <w14:textFill>
            <w14:solidFill>
              <w14:schemeClr w14:val="tx1"/>
            </w14:solidFill>
          </w14:textFill>
        </w:rPr>
        <w:t>插座、空调、电力</w:t>
      </w:r>
      <w:r>
        <w:rPr>
          <w:rFonts w:hint="eastAsia" w:asciiTheme="minorEastAsia" w:hAnsiTheme="minorEastAsia" w:eastAsiaTheme="minorEastAsia" w:cstheme="minorEastAsia"/>
          <w:color w:val="000000" w:themeColor="text1"/>
          <w:sz w:val="32"/>
          <w:szCs w:val="32"/>
          <w14:textFill>
            <w14:solidFill>
              <w14:schemeClr w14:val="tx1"/>
            </w14:solidFill>
          </w14:textFill>
        </w:rPr>
        <w:t>（</w:t>
      </w:r>
      <w:r>
        <w:rPr>
          <w:rFonts w:asciiTheme="minorEastAsia" w:hAnsiTheme="minorEastAsia" w:eastAsiaTheme="minorEastAsia" w:cstheme="minorEastAsia"/>
          <w:color w:val="000000" w:themeColor="text1"/>
          <w:sz w:val="32"/>
          <w:szCs w:val="32"/>
          <w14:textFill>
            <w14:solidFill>
              <w14:schemeClr w14:val="tx1"/>
            </w14:solidFill>
          </w14:textFill>
        </w:rPr>
        <w:t>包括电梯、非空调区域通风、生活热水、自来水加压、排污等建筑物常规功能的用电设备的耗电量）、特殊用电</w:t>
      </w:r>
      <w:r>
        <w:rPr>
          <w:rFonts w:hint="eastAsia" w:asciiTheme="minorEastAsia" w:hAnsiTheme="minorEastAsia" w:eastAsiaTheme="minorEastAsia" w:cstheme="minorEastAsia"/>
          <w:color w:val="000000" w:themeColor="text1"/>
          <w:sz w:val="32"/>
          <w:szCs w:val="32"/>
          <w14:textFill>
            <w14:solidFill>
              <w14:schemeClr w14:val="tx1"/>
            </w14:solidFill>
          </w14:textFill>
        </w:rPr>
        <w:t>(</w:t>
      </w:r>
      <w:r>
        <w:rPr>
          <w:rFonts w:asciiTheme="minorEastAsia" w:hAnsiTheme="minorEastAsia" w:eastAsiaTheme="minorEastAsia" w:cstheme="minorEastAsia"/>
          <w:color w:val="000000" w:themeColor="text1"/>
          <w:sz w:val="32"/>
          <w:szCs w:val="32"/>
          <w14:textFill>
            <w14:solidFill>
              <w14:schemeClr w14:val="tx1"/>
            </w14:solidFill>
          </w14:textFill>
        </w:rPr>
        <w:t>包括信息中心、洗衣房、厨房餐厅、电热水器</w:t>
      </w:r>
      <w:r>
        <w:rPr>
          <w:rFonts w:hint="eastAsia" w:asciiTheme="minorEastAsia" w:hAnsiTheme="minorEastAsia" w:eastAsiaTheme="minorEastAsia" w:cstheme="minorEastAsia"/>
          <w:color w:val="000000" w:themeColor="text1"/>
          <w:sz w:val="32"/>
          <w:szCs w:val="32"/>
          <w14:textFill>
            <w14:solidFill>
              <w14:schemeClr w14:val="tx1"/>
            </w14:solidFill>
          </w14:textFill>
        </w:rPr>
        <w:t>等</w:t>
      </w:r>
      <w:r>
        <w:rPr>
          <w:rFonts w:asciiTheme="minorEastAsia" w:hAnsiTheme="minorEastAsia" w:eastAsiaTheme="minorEastAsia" w:cstheme="minorEastAsia"/>
          <w:color w:val="000000" w:themeColor="text1"/>
          <w:sz w:val="32"/>
          <w:szCs w:val="32"/>
          <w14:textFill>
            <w14:solidFill>
              <w14:schemeClr w14:val="tx1"/>
            </w14:solidFill>
          </w14:textFill>
        </w:rPr>
        <w:t>不属于建筑物常规功能的用电设备的耗电量</w:t>
      </w:r>
      <w:r>
        <w:rPr>
          <w:rFonts w:hint="eastAsia" w:asciiTheme="minorEastAsia" w:hAnsiTheme="minorEastAsia" w:eastAsiaTheme="minorEastAsia" w:cstheme="minorEastAsia"/>
          <w:color w:val="000000" w:themeColor="text1"/>
          <w:sz w:val="32"/>
          <w:szCs w:val="32"/>
          <w14:textFill>
            <w14:solidFill>
              <w14:schemeClr w14:val="tx1"/>
            </w14:solidFill>
          </w14:textFill>
        </w:rPr>
        <w:t>)</w:t>
      </w:r>
      <w:r>
        <w:rPr>
          <w:rFonts w:asciiTheme="minorEastAsia" w:hAnsiTheme="minorEastAsia" w:eastAsiaTheme="minorEastAsia" w:cstheme="minorEastAsia"/>
          <w:color w:val="000000" w:themeColor="text1"/>
          <w:sz w:val="32"/>
          <w:szCs w:val="32"/>
          <w14:textFill>
            <w14:solidFill>
              <w14:schemeClr w14:val="tx1"/>
            </w14:solidFill>
          </w14:textFill>
        </w:rPr>
        <w:t>分项进行电能监测与计量</w:t>
      </w:r>
      <w:r>
        <w:rPr>
          <w:rFonts w:hint="eastAsia" w:asciiTheme="minorEastAsia" w:hAnsiTheme="minorEastAsia" w:eastAsiaTheme="minorEastAsia" w:cstheme="minorEastAsia"/>
          <w:color w:val="000000" w:themeColor="text1"/>
          <w:sz w:val="32"/>
          <w:szCs w:val="32"/>
          <w14:textFill>
            <w14:solidFill>
              <w14:schemeClr w14:val="tx1"/>
            </w14:solidFill>
          </w14:textFill>
        </w:rPr>
        <w:t>。</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w:t>
      </w:r>
      <w:r>
        <w:rPr>
          <w:rFonts w:asciiTheme="minorEastAsia" w:hAnsiTheme="minorEastAsia" w:eastAsiaTheme="minorEastAsia" w:cstheme="minorEastAsia"/>
          <w:color w:val="000000" w:themeColor="text1"/>
          <w:sz w:val="32"/>
          <w:szCs w:val="32"/>
          <w14:textFill>
            <w14:solidFill>
              <w14:schemeClr w14:val="tx1"/>
            </w14:solidFill>
          </w14:textFill>
        </w:rPr>
        <w:t>用电能耗监测</w:t>
      </w:r>
      <w:r>
        <w:rPr>
          <w:rFonts w:hint="eastAsia" w:asciiTheme="minorEastAsia" w:hAnsiTheme="minorEastAsia" w:eastAsiaTheme="minorEastAsia" w:cstheme="minorEastAsia"/>
          <w:color w:val="000000" w:themeColor="text1"/>
          <w:sz w:val="32"/>
          <w:szCs w:val="32"/>
          <w14:textFill>
            <w14:solidFill>
              <w14:schemeClr w14:val="tx1"/>
            </w14:solidFill>
          </w14:textFill>
        </w:rPr>
        <w:t>系统按照《国家机关办公建筑和大型公共建筑能耗监测分项数据采集技术导则》规定设计。</w:t>
      </w:r>
    </w:p>
    <w:p>
      <w:pPr>
        <w:pStyle w:val="22"/>
        <w:ind w:firstLine="151" w:firstLineChars="50"/>
        <w:jc w:val="both"/>
        <w:outlineLvl w:val="1"/>
        <w:rPr>
          <w:rFonts w:ascii="Arial" w:hAnsi="Arial" w:eastAsia="黑体"/>
          <w:color w:val="000000" w:themeColor="text1"/>
          <w:sz w:val="30"/>
          <w:szCs w:val="30"/>
          <w14:textFill>
            <w14:solidFill>
              <w14:schemeClr w14:val="tx1"/>
            </w14:solidFill>
          </w14:textFill>
        </w:rPr>
      </w:pPr>
      <w:bookmarkStart w:id="210" w:name="_Toc20989"/>
      <w:r>
        <w:rPr>
          <w:rFonts w:hint="eastAsia" w:ascii="Arial" w:hAnsi="Arial" w:eastAsia="黑体"/>
          <w:color w:val="000000" w:themeColor="text1"/>
          <w:sz w:val="30"/>
          <w:szCs w:val="30"/>
          <w14:textFill>
            <w14:solidFill>
              <w14:schemeClr w14:val="tx1"/>
            </w14:solidFill>
          </w14:textFill>
        </w:rPr>
        <w:t>12.5通风空调节能设计措施</w:t>
      </w:r>
      <w:bookmarkEnd w:id="210"/>
    </w:p>
    <w:p>
      <w:pPr>
        <w:rPr>
          <w:color w:val="000000" w:themeColor="text1"/>
          <w14:textFill>
            <w14:solidFill>
              <w14:schemeClr w14:val="tx1"/>
            </w14:solidFill>
          </w14:textFill>
        </w:rPr>
      </w:pP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w:t>
      </w:r>
      <w:r>
        <w:rPr>
          <w:rFonts w:asciiTheme="minorEastAsia" w:hAnsiTheme="minorEastAsia" w:eastAsiaTheme="minorEastAsia" w:cstheme="minorEastAsia"/>
          <w:color w:val="000000" w:themeColor="text1"/>
          <w:sz w:val="32"/>
          <w:szCs w:val="32"/>
          <w14:textFill>
            <w14:solidFill>
              <w14:schemeClr w14:val="tx1"/>
            </w14:solidFill>
          </w14:textFill>
        </w:rPr>
        <w:t>本工程设计严格遵循《公共建筑节能设计标准》GB 50189-2015中的相关规定。</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w:t>
      </w:r>
      <w:r>
        <w:rPr>
          <w:rFonts w:asciiTheme="minorEastAsia" w:hAnsiTheme="minorEastAsia" w:eastAsiaTheme="minorEastAsia" w:cstheme="minorEastAsia"/>
          <w:color w:val="000000" w:themeColor="text1"/>
          <w:sz w:val="32"/>
          <w:szCs w:val="32"/>
          <w14:textFill>
            <w14:solidFill>
              <w14:schemeClr w14:val="tx1"/>
            </w14:solidFill>
          </w14:textFill>
        </w:rPr>
        <w:t>合理选择室内设计参数：</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asciiTheme="minorEastAsia" w:hAnsiTheme="minorEastAsia" w:eastAsiaTheme="minorEastAsia" w:cstheme="minorEastAsia"/>
          <w:color w:val="000000" w:themeColor="text1"/>
          <w:sz w:val="32"/>
          <w:szCs w:val="32"/>
          <w14:textFill>
            <w14:solidFill>
              <w14:schemeClr w14:val="tx1"/>
            </w14:solidFill>
          </w14:textFill>
        </w:rPr>
        <w:tab/>
      </w:r>
      <w:r>
        <w:rPr>
          <w:rFonts w:asciiTheme="minorEastAsia" w:hAnsiTheme="minorEastAsia" w:eastAsiaTheme="minorEastAsia" w:cstheme="minorEastAsia"/>
          <w:color w:val="000000" w:themeColor="text1"/>
          <w:sz w:val="32"/>
          <w:szCs w:val="32"/>
          <w14:textFill>
            <w14:solidFill>
              <w14:schemeClr w14:val="tx1"/>
            </w14:solidFill>
          </w14:textFill>
        </w:rPr>
        <w:t>建筑物维护结构的传热系数满足《公共建筑节能设计标准》及《云南省民用建筑节能规范》。空调室内环境设计参数满足《公共建筑节能设计标准》及《云南省民用建筑节能规范》。</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3、</w:t>
      </w:r>
      <w:r>
        <w:rPr>
          <w:rFonts w:asciiTheme="minorEastAsia" w:hAnsiTheme="minorEastAsia" w:eastAsiaTheme="minorEastAsia" w:cstheme="minorEastAsia"/>
          <w:color w:val="000000" w:themeColor="text1"/>
          <w:sz w:val="32"/>
          <w:szCs w:val="32"/>
          <w14:textFill>
            <w14:solidFill>
              <w14:schemeClr w14:val="tx1"/>
            </w14:solidFill>
          </w14:textFill>
        </w:rPr>
        <w:t>根据相关规范要求选择合适的新风量和新风比。</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4、</w:t>
      </w:r>
      <w:r>
        <w:rPr>
          <w:rFonts w:asciiTheme="minorEastAsia" w:hAnsiTheme="minorEastAsia" w:eastAsiaTheme="minorEastAsia" w:cstheme="minorEastAsia"/>
          <w:color w:val="000000" w:themeColor="text1"/>
          <w:sz w:val="32"/>
          <w:szCs w:val="32"/>
          <w14:textFill>
            <w14:solidFill>
              <w14:schemeClr w14:val="tx1"/>
            </w14:solidFill>
          </w14:textFill>
        </w:rPr>
        <w:t>通过准确的水力计算，确定水泵的扬程和风机的压力，选择合适的设备。</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5、</w:t>
      </w:r>
      <w:r>
        <w:rPr>
          <w:rFonts w:asciiTheme="minorEastAsia" w:hAnsiTheme="minorEastAsia" w:eastAsiaTheme="minorEastAsia" w:cstheme="minorEastAsia"/>
          <w:color w:val="000000" w:themeColor="text1"/>
          <w:sz w:val="32"/>
          <w:szCs w:val="32"/>
          <w14:textFill>
            <w14:solidFill>
              <w14:schemeClr w14:val="tx1"/>
            </w14:solidFill>
          </w14:textFill>
        </w:rPr>
        <w:t>所有吊装在设备均设减振吊架，降低噪音对环境的污染；通风、空调室外机等设备置于屋面，均考虑隔振减噪。</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6、</w:t>
      </w:r>
      <w:r>
        <w:rPr>
          <w:rFonts w:asciiTheme="minorEastAsia" w:hAnsiTheme="minorEastAsia" w:eastAsiaTheme="minorEastAsia" w:cstheme="minorEastAsia"/>
          <w:color w:val="000000" w:themeColor="text1"/>
          <w:sz w:val="32"/>
          <w:szCs w:val="32"/>
          <w14:textFill>
            <w14:solidFill>
              <w14:schemeClr w14:val="tx1"/>
            </w14:solidFill>
          </w14:textFill>
        </w:rPr>
        <w:t xml:space="preserve">空调冷、热负荷计算将采用专业软件进行详细、逐时计算，从而使设计更趋合理。 </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7、</w:t>
      </w:r>
      <w:r>
        <w:rPr>
          <w:rFonts w:asciiTheme="minorEastAsia" w:hAnsiTheme="minorEastAsia" w:eastAsiaTheme="minorEastAsia" w:cstheme="minorEastAsia"/>
          <w:color w:val="000000" w:themeColor="text1"/>
          <w:sz w:val="32"/>
          <w:szCs w:val="32"/>
          <w14:textFill>
            <w14:solidFill>
              <w14:schemeClr w14:val="tx1"/>
            </w14:solidFill>
          </w14:textFill>
        </w:rPr>
        <w:t>采用高效、节能风机，平时所有的风机均选用单位风量耗功率Ws满足《公共建筑节能设计标准》GB50189-2015要求的节能产品；采用变制冷剂流量多联空调系统的空调机组，IPLV(C)值满足温和地区限值；空调系统采用智能化集中控制，空调系统制冷剂选用环保冷媒。</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8、</w:t>
      </w:r>
      <w:r>
        <w:rPr>
          <w:rFonts w:asciiTheme="minorEastAsia" w:hAnsiTheme="minorEastAsia" w:eastAsiaTheme="minorEastAsia" w:cstheme="minorEastAsia"/>
          <w:color w:val="000000" w:themeColor="text1"/>
          <w:sz w:val="32"/>
          <w:szCs w:val="32"/>
          <w14:textFill>
            <w14:solidFill>
              <w14:schemeClr w14:val="tx1"/>
            </w14:solidFill>
          </w14:textFill>
        </w:rPr>
        <w:t>根据建筑物各分区使用功能、使用时间及空调方式等合理设置空调系统、机械通风系统，在满足各功能分区环境舒适、安全的前提下，降低系统投资和运行费用，并能达到管理计费方便的目的。</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9、</w:t>
      </w:r>
      <w:r>
        <w:rPr>
          <w:rFonts w:asciiTheme="minorEastAsia" w:hAnsiTheme="minorEastAsia" w:eastAsiaTheme="minorEastAsia" w:cstheme="minorEastAsia"/>
          <w:color w:val="000000" w:themeColor="text1"/>
          <w:sz w:val="32"/>
          <w:szCs w:val="32"/>
          <w14:textFill>
            <w14:solidFill>
              <w14:schemeClr w14:val="tx1"/>
            </w14:solidFill>
          </w14:textFill>
        </w:rPr>
        <w:t>采用变制冷剂流量中央空调系统，系统主机直流变频控制，负荷调节性能优秀，机组效率高。</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10、</w:t>
      </w:r>
      <w:r>
        <w:rPr>
          <w:rFonts w:asciiTheme="minorEastAsia" w:hAnsiTheme="minorEastAsia" w:eastAsiaTheme="minorEastAsia" w:cstheme="minorEastAsia"/>
          <w:color w:val="000000" w:themeColor="text1"/>
          <w:sz w:val="32"/>
          <w:szCs w:val="32"/>
          <w14:textFill>
            <w14:solidFill>
              <w14:schemeClr w14:val="tx1"/>
            </w14:solidFill>
          </w14:textFill>
        </w:rPr>
        <w:t>新风的利用。全空气系统均按照全新风工况设置，过渡季节可利用室外新风消除室内的余热余湿，减低制冷主机的运行费用。</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11、</w:t>
      </w:r>
      <w:r>
        <w:rPr>
          <w:rFonts w:asciiTheme="minorEastAsia" w:hAnsiTheme="minorEastAsia" w:eastAsiaTheme="minorEastAsia" w:cstheme="minorEastAsia"/>
          <w:color w:val="000000" w:themeColor="text1"/>
          <w:sz w:val="32"/>
          <w:szCs w:val="32"/>
          <w14:textFill>
            <w14:solidFill>
              <w14:schemeClr w14:val="tx1"/>
            </w14:solidFill>
          </w14:textFill>
        </w:rPr>
        <w:t>废气影响防治：废气通过排风机经土建风道高于室外地坪2.5m以上排放。垃圾房设置机械排风系统，废气经纳米光子除臭装置处理后高空排放。浴厕和开水间设机械排风系统，将废气排至室外。</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12、</w:t>
      </w:r>
      <w:r>
        <w:rPr>
          <w:rFonts w:asciiTheme="minorEastAsia" w:hAnsiTheme="minorEastAsia" w:eastAsiaTheme="minorEastAsia" w:cstheme="minorEastAsia"/>
          <w:color w:val="000000" w:themeColor="text1"/>
          <w:sz w:val="32"/>
          <w:szCs w:val="32"/>
          <w14:textFill>
            <w14:solidFill>
              <w14:schemeClr w14:val="tx1"/>
            </w14:solidFill>
          </w14:textFill>
        </w:rPr>
        <w:t>空调系统采用合理的保温材料及保温厚度以满足节能环保的要求。</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13、</w:t>
      </w:r>
      <w:r>
        <w:rPr>
          <w:rFonts w:asciiTheme="minorEastAsia" w:hAnsiTheme="minorEastAsia" w:eastAsiaTheme="minorEastAsia" w:cstheme="minorEastAsia"/>
          <w:color w:val="000000" w:themeColor="text1"/>
          <w:sz w:val="32"/>
          <w:szCs w:val="32"/>
          <w14:textFill>
            <w14:solidFill>
              <w14:schemeClr w14:val="tx1"/>
            </w14:solidFill>
          </w14:textFill>
        </w:rPr>
        <w:t>柴油发电机的高温烟气经滤尘降噪后至建筑顶层高空排放。针对不同的有害气体，采用相应的处理措施及要求排放。</w:t>
      </w: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p>
    <w:p>
      <w:pPr>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p>
    <w:p>
      <w:pPr>
        <w:pStyle w:val="2"/>
        <w:jc w:val="center"/>
        <w:rPr>
          <w:color w:val="000000" w:themeColor="text1"/>
          <w14:textFill>
            <w14:solidFill>
              <w14:schemeClr w14:val="tx1"/>
            </w14:solidFill>
          </w14:textFill>
        </w:rPr>
      </w:pPr>
      <w:bookmarkStart w:id="211" w:name="_Toc6058_WPSOffice_Level1"/>
      <w:bookmarkStart w:id="212" w:name="_Toc27072_WPSOffice_Level1"/>
      <w:bookmarkStart w:id="213" w:name="_Toc13194"/>
      <w:r>
        <w:rPr>
          <w:rFonts w:hint="eastAsia"/>
          <w:color w:val="000000" w:themeColor="text1"/>
          <w14:textFill>
            <w14:solidFill>
              <w14:schemeClr w14:val="tx1"/>
            </w14:solidFill>
          </w14:textFill>
        </w:rPr>
        <w:t>第十三章   绿色建筑设计说明</w:t>
      </w:r>
      <w:bookmarkEnd w:id="211"/>
      <w:bookmarkEnd w:id="212"/>
      <w:bookmarkEnd w:id="213"/>
    </w:p>
    <w:p>
      <w:pPr>
        <w:pStyle w:val="22"/>
        <w:jc w:val="both"/>
        <w:outlineLvl w:val="1"/>
        <w:rPr>
          <w:rFonts w:ascii="Arial" w:hAnsi="Arial" w:eastAsia="黑体"/>
          <w:color w:val="000000" w:themeColor="text1"/>
          <w:sz w:val="30"/>
          <w:szCs w:val="30"/>
          <w14:textFill>
            <w14:solidFill>
              <w14:schemeClr w14:val="tx1"/>
            </w14:solidFill>
          </w14:textFill>
        </w:rPr>
      </w:pPr>
      <w:bookmarkStart w:id="214" w:name="_Toc9959"/>
      <w:bookmarkStart w:id="215" w:name="_Toc7920_WPSOffice_Level2"/>
      <w:bookmarkStart w:id="216" w:name="_Toc9726_WPSOffice_Level2"/>
      <w:r>
        <w:rPr>
          <w:rFonts w:hint="eastAsia" w:ascii="Arial" w:hAnsi="Arial" w:eastAsia="黑体"/>
          <w:color w:val="000000" w:themeColor="text1"/>
          <w:sz w:val="30"/>
          <w:szCs w:val="30"/>
          <w14:textFill>
            <w14:solidFill>
              <w14:schemeClr w14:val="tx1"/>
            </w14:solidFill>
          </w14:textFill>
        </w:rPr>
        <w:t>13.1设计依据</w:t>
      </w:r>
      <w:bookmarkEnd w:id="214"/>
      <w:bookmarkEnd w:id="215"/>
      <w:bookmarkEnd w:id="216"/>
    </w:p>
    <w:p>
      <w:pPr>
        <w:spacing w:line="480" w:lineRule="auto"/>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1.《绿色建筑评价标准》GB/T 50378-2006</w:t>
      </w:r>
    </w:p>
    <w:p>
      <w:pPr>
        <w:spacing w:line="480" w:lineRule="auto"/>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2.《民用建筑绿色设计规范》JGJ/T 229-2010</w:t>
      </w:r>
    </w:p>
    <w:p>
      <w:pPr>
        <w:spacing w:line="480" w:lineRule="auto"/>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3.《无障碍设计规范》GB 50763-2012</w:t>
      </w:r>
    </w:p>
    <w:p>
      <w:pPr>
        <w:spacing w:line="480" w:lineRule="auto"/>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4.《智能建筑设计标准》GB/T 50314-2006</w:t>
      </w:r>
    </w:p>
    <w:p>
      <w:pPr>
        <w:spacing w:line="480" w:lineRule="auto"/>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5.《声环境质量标准》GB 3096-2008</w:t>
      </w:r>
    </w:p>
    <w:p>
      <w:pPr>
        <w:spacing w:line="480" w:lineRule="auto"/>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6.《建筑采光设计标准》GB 50033-2013</w:t>
      </w:r>
    </w:p>
    <w:p>
      <w:pPr>
        <w:spacing w:line="480" w:lineRule="auto"/>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7.《建筑照明设计标准》GB 50034-2004</w:t>
      </w:r>
    </w:p>
    <w:p>
      <w:pPr>
        <w:spacing w:line="480" w:lineRule="auto"/>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8.《电能质量公共电网谐波》GB/T14549</w:t>
      </w:r>
    </w:p>
    <w:p>
      <w:pPr>
        <w:spacing w:line="480" w:lineRule="auto"/>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9.《民用建筑隔声设计规范》GB 50118-2010</w:t>
      </w:r>
    </w:p>
    <w:p>
      <w:pPr>
        <w:spacing w:line="480" w:lineRule="auto"/>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10.《民用建筑节水设计标准》GB 50555-2010</w:t>
      </w:r>
    </w:p>
    <w:p>
      <w:pPr>
        <w:spacing w:line="480" w:lineRule="auto"/>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11.《民用建筑工程室内环境污染控制规范》GB 50325-2010</w:t>
      </w:r>
    </w:p>
    <w:p>
      <w:pPr>
        <w:spacing w:line="480" w:lineRule="auto"/>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12.《云南省绿色建筑评价标准》DBJ53/T-49-2013（2013年版）</w:t>
      </w:r>
    </w:p>
    <w:p>
      <w:pPr>
        <w:spacing w:line="480" w:lineRule="auto"/>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13.《云南省民用建筑节能设计标准》DBJ53/T-39-2011</w:t>
      </w:r>
    </w:p>
    <w:p>
      <w:pPr>
        <w:pStyle w:val="22"/>
        <w:jc w:val="both"/>
        <w:outlineLvl w:val="1"/>
        <w:rPr>
          <w:rFonts w:ascii="Arial" w:hAnsi="Arial" w:eastAsia="黑体"/>
          <w:color w:val="000000" w:themeColor="text1"/>
          <w:sz w:val="30"/>
          <w:szCs w:val="30"/>
          <w14:textFill>
            <w14:solidFill>
              <w14:schemeClr w14:val="tx1"/>
            </w14:solidFill>
          </w14:textFill>
        </w:rPr>
      </w:pPr>
      <w:bookmarkStart w:id="217" w:name="_Toc29424"/>
      <w:bookmarkStart w:id="218" w:name="_Toc16205_WPSOffice_Level2"/>
      <w:bookmarkStart w:id="219" w:name="_Toc5493_WPSOffice_Level2"/>
      <w:r>
        <w:rPr>
          <w:rFonts w:hint="eastAsia" w:ascii="Arial" w:hAnsi="Arial" w:eastAsia="黑体"/>
          <w:color w:val="000000" w:themeColor="text1"/>
          <w:sz w:val="30"/>
          <w:szCs w:val="30"/>
          <w14:textFill>
            <w14:solidFill>
              <w14:schemeClr w14:val="tx1"/>
            </w14:solidFill>
          </w14:textFill>
        </w:rPr>
        <w:t>13.2设计理念</w:t>
      </w:r>
      <w:bookmarkEnd w:id="217"/>
      <w:bookmarkEnd w:id="218"/>
      <w:bookmarkEnd w:id="219"/>
    </w:p>
    <w:p>
      <w:pPr>
        <w:spacing w:line="480" w:lineRule="auto"/>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绿色建筑设计应遵循节水、节地、节材、节能、室内环境等原则。</w:t>
      </w:r>
    </w:p>
    <w:p>
      <w:pPr>
        <w:pStyle w:val="22"/>
        <w:jc w:val="both"/>
        <w:outlineLvl w:val="1"/>
        <w:rPr>
          <w:rFonts w:ascii="Arial" w:hAnsi="Arial" w:eastAsia="黑体"/>
          <w:color w:val="000000" w:themeColor="text1"/>
          <w:sz w:val="30"/>
          <w:szCs w:val="30"/>
          <w14:textFill>
            <w14:solidFill>
              <w14:schemeClr w14:val="tx1"/>
            </w14:solidFill>
          </w14:textFill>
        </w:rPr>
      </w:pPr>
      <w:bookmarkStart w:id="220" w:name="_Toc4584"/>
      <w:bookmarkStart w:id="221" w:name="_Toc456_WPSOffice_Level2"/>
      <w:bookmarkStart w:id="222" w:name="_Toc4024_WPSOffice_Level2"/>
      <w:r>
        <w:rPr>
          <w:rFonts w:hint="eastAsia" w:ascii="Arial" w:hAnsi="Arial" w:eastAsia="黑体"/>
          <w:color w:val="000000" w:themeColor="text1"/>
          <w:sz w:val="30"/>
          <w:szCs w:val="30"/>
          <w14:textFill>
            <w14:solidFill>
              <w14:schemeClr w14:val="tx1"/>
            </w14:solidFill>
          </w14:textFill>
        </w:rPr>
        <w:t>13.3绿色建筑目标</w:t>
      </w:r>
      <w:bookmarkEnd w:id="220"/>
      <w:bookmarkEnd w:id="221"/>
      <w:bookmarkEnd w:id="222"/>
    </w:p>
    <w:p>
      <w:pPr>
        <w:spacing w:line="480" w:lineRule="auto"/>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 xml:space="preserve"> 本工程绿色建筑目标为：建筑设计达到《云南省绿色建筑评价标准》DBJ53/T-49-2013的基本级标准。</w:t>
      </w:r>
    </w:p>
    <w:p>
      <w:pPr>
        <w:pStyle w:val="22"/>
        <w:jc w:val="both"/>
        <w:outlineLvl w:val="1"/>
        <w:rPr>
          <w:rFonts w:ascii="Arial" w:hAnsi="Arial" w:eastAsia="黑体"/>
          <w:color w:val="000000" w:themeColor="text1"/>
          <w:sz w:val="30"/>
          <w:szCs w:val="30"/>
          <w14:textFill>
            <w14:solidFill>
              <w14:schemeClr w14:val="tx1"/>
            </w14:solidFill>
          </w14:textFill>
        </w:rPr>
      </w:pPr>
      <w:bookmarkStart w:id="223" w:name="_Toc10062_WPSOffice_Level2"/>
      <w:bookmarkStart w:id="224" w:name="_Toc21033_WPSOffice_Level2"/>
      <w:bookmarkStart w:id="225" w:name="_Toc2932"/>
      <w:r>
        <w:rPr>
          <w:rFonts w:hint="eastAsia" w:ascii="Arial" w:hAnsi="Arial" w:eastAsia="黑体"/>
          <w:color w:val="000000" w:themeColor="text1"/>
          <w:sz w:val="30"/>
          <w:szCs w:val="30"/>
          <w14:textFill>
            <w14:solidFill>
              <w14:schemeClr w14:val="tx1"/>
            </w14:solidFill>
          </w14:textFill>
        </w:rPr>
        <w:t>13.4给排水绿色设计措施</w:t>
      </w:r>
      <w:bookmarkEnd w:id="223"/>
      <w:bookmarkEnd w:id="224"/>
      <w:bookmarkEnd w:id="225"/>
    </w:p>
    <w:p>
      <w:pPr>
        <w:pStyle w:val="54"/>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1.供水系统，充分利用市政供水压力；高层建筑生活给水系统合理分区，各分区最低卫生器具配水点处的静水压不大于0.45MPa；采取减压限流的节水措施，建筑用水点处供水压不大于0.2MPa。</w:t>
      </w:r>
    </w:p>
    <w:p>
      <w:pPr>
        <w:pStyle w:val="54"/>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2.热水系统，热水供应系统</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采用</w:t>
      </w:r>
      <w:r>
        <w:rPr>
          <w:rFonts w:hint="eastAsia" w:asciiTheme="minorEastAsia" w:hAnsiTheme="minorEastAsia" w:eastAsiaTheme="minorEastAsia" w:cstheme="minorEastAsia"/>
          <w:color w:val="000000" w:themeColor="text1"/>
          <w:sz w:val="32"/>
          <w:szCs w:val="32"/>
          <w14:textFill>
            <w14:solidFill>
              <w14:schemeClr w14:val="tx1"/>
            </w14:solidFill>
          </w14:textFill>
        </w:rPr>
        <w:t>太阳能热水器供应。</w:t>
      </w:r>
    </w:p>
    <w:p>
      <w:pPr>
        <w:pStyle w:val="54"/>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3.非传统水源利用，设置中水回收系统：中水水源为：卫生间、浴室的盆浴和淋浴的排水；盥洗排水；空调循环冷却系统排污水；冷凝水；游泳池排污水；洗衣排水；厨房排水；冲厕排水。回收的中水用途为：景观、绿化用水；中水也可以用于农作物、蔬菜浇灌用水。合理衔接和引导屋面雨水、道路雨水进入地面生态设施，并采取相应的径流污染控制措施。</w:t>
      </w:r>
    </w:p>
    <w:p>
      <w:pPr>
        <w:pStyle w:val="54"/>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4.节水措施</w:t>
      </w:r>
    </w:p>
    <w:p>
      <w:pPr>
        <w:pStyle w:val="54"/>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避免管网漏损措施：给水系统中使用的管材、管件，必须符合现行国家标准的要求。管道和管件的工作压力不得大于产品标准标称的允许工作压力，管材与管件宜配套提供；选用高性能阀门；合理设计供水系统，避免了供水压力过高或压力聚变的出现；选择适宜的管道敷设及基础处理方式。选用密闭性能好的阀门、设备，使用耐腐蚀、耐久性能好的管材、管件。</w:t>
      </w:r>
    </w:p>
    <w:p>
      <w:pPr>
        <w:pStyle w:val="54"/>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（2）卫生间内卫生洁具均选用节水型产品。采用的用水器具，必须符合城镇建设行业标准《节水型生活用水器具》CJ/T164-2014要求。</w:t>
      </w:r>
    </w:p>
    <w:p>
      <w:pPr>
        <w:pStyle w:val="54"/>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（3）景观绿化采用喷灌、微灌等高效节水灌溉方式，节约用水。</w:t>
      </w:r>
    </w:p>
    <w:p>
      <w:pPr>
        <w:pStyle w:val="54"/>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（4）水表应按照使⽤用途和管网漏损检测要求设置，住宅建筑每个居住单元和景观、灌溉等不同用途的供水均应设置水表，公共建筑应对不同用途和不同付费单位的供水设置水表。</w:t>
      </w:r>
    </w:p>
    <w:p>
      <w:pPr>
        <w:pStyle w:val="22"/>
        <w:jc w:val="both"/>
        <w:outlineLvl w:val="1"/>
        <w:rPr>
          <w:rFonts w:ascii="Arial" w:hAnsi="Arial" w:eastAsia="黑体"/>
          <w:color w:val="000000" w:themeColor="text1"/>
          <w:sz w:val="30"/>
          <w:szCs w:val="30"/>
          <w14:textFill>
            <w14:solidFill>
              <w14:schemeClr w14:val="tx1"/>
            </w14:solidFill>
          </w14:textFill>
        </w:rPr>
      </w:pPr>
      <w:bookmarkStart w:id="226" w:name="_Toc22304_WPSOffice_Level2"/>
      <w:bookmarkStart w:id="227" w:name="_Toc26440_WPSOffice_Level2"/>
      <w:bookmarkStart w:id="228" w:name="_Toc15461"/>
      <w:r>
        <w:rPr>
          <w:rFonts w:hint="eastAsia" w:ascii="Arial" w:hAnsi="Arial" w:eastAsia="黑体"/>
          <w:color w:val="000000" w:themeColor="text1"/>
          <w:sz w:val="30"/>
          <w:szCs w:val="30"/>
          <w14:textFill>
            <w14:solidFill>
              <w14:schemeClr w14:val="tx1"/>
            </w14:solidFill>
          </w14:textFill>
        </w:rPr>
        <w:t>13.5电气绿色设计措施</w:t>
      </w:r>
      <w:bookmarkEnd w:id="226"/>
      <w:bookmarkEnd w:id="227"/>
      <w:bookmarkEnd w:id="228"/>
    </w:p>
    <w:p>
      <w:pPr>
        <w:pStyle w:val="54"/>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（1）供配电系统的三相不平衡度小于15%，采用分相无功自动补偿装置进行无功补偿。</w:t>
      </w:r>
    </w:p>
    <w:p>
      <w:pPr>
        <w:pStyle w:val="54"/>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 选用D，</w:t>
      </w:r>
      <w:r>
        <w:rPr>
          <w:rFonts w:asciiTheme="minorEastAsia" w:hAnsiTheme="minorEastAsia" w:eastAsiaTheme="minorEastAsia" w:cstheme="minorEastAsia"/>
          <w:color w:val="000000" w:themeColor="text1"/>
          <w:sz w:val="32"/>
          <w:szCs w:val="32"/>
          <w14:textFill>
            <w14:solidFill>
              <w14:schemeClr w14:val="tx1"/>
            </w14:solidFill>
          </w14:textFill>
        </w:rPr>
        <w:t>yn11</w:t>
      </w:r>
      <w:r>
        <w:rPr>
          <w:rFonts w:hint="eastAsia" w:asciiTheme="minorEastAsia" w:hAnsiTheme="minorEastAsia" w:eastAsiaTheme="minorEastAsia" w:cstheme="minorEastAsia"/>
          <w:color w:val="000000" w:themeColor="text1"/>
          <w:sz w:val="32"/>
          <w:szCs w:val="32"/>
          <w14:textFill>
            <w14:solidFill>
              <w14:schemeClr w14:val="tx1"/>
            </w14:solidFill>
          </w14:textFill>
        </w:rPr>
        <w:t>组别的变压器，限制三次谐波；主要谐波源设备配套有源滤波装置抑制和治理高次谐波，使其谐波符合国家和地方标准的谐波限值规定；在变配电室预留有源滤波器安装位置, 其具体设备参数应在变配电室投入运行后,对谐波实测分析后确定, 使变配电室低压进线上谐波符合国家和地方标准的谐波限值规定。</w:t>
      </w:r>
    </w:p>
    <w:p>
      <w:pPr>
        <w:pStyle w:val="54"/>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4.2照明</w:t>
      </w:r>
    </w:p>
    <w:p>
      <w:pPr>
        <w:pStyle w:val="54"/>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1.夜景照明设计由专业照明设计公司负责，夜景照明设计应严格控制夜间的夜景照明产生的光污染，控制措施包括：</w:t>
      </w:r>
    </w:p>
    <w:p>
      <w:pPr>
        <w:pStyle w:val="54"/>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 夜景照明的照明光线严格控制在场地内，超出场地的溢散光不超过15%；严格控制夜景照明设施对公寓等建筑产生干扰光，并满足《城市夜景照明设计规范》JGJ/T163中第7.0.2条的规定。</w:t>
      </w:r>
    </w:p>
    <w:p>
      <w:pPr>
        <w:pStyle w:val="54"/>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(2)合理设置夜景照明运行时段，及时关闭部分或全部景观照明内透光照明</w:t>
      </w:r>
    </w:p>
    <w:p>
      <w:pPr>
        <w:pStyle w:val="54"/>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(3)因本项目采用玻璃幕墙和表面材料反射比低于0.2的建筑立面，故夜景照明应采用内透光照明与轮廓照明相结合的方式，不采用泛光照明方式。当所选用的灯具初始灯光通量超过1000Lm时，采用遮光措施防止光污染。</w:t>
      </w:r>
    </w:p>
    <w:p>
      <w:pPr>
        <w:pStyle w:val="54"/>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2.以充分利用天然采光为目标，选用高效光源和节能灯具，并符合以下要求：</w:t>
      </w:r>
    </w:p>
    <w:p>
      <w:pPr>
        <w:pStyle w:val="54"/>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(1)照度、眩光值(UGR)、照明光源的色温应符合现行国家标准《</w:t>
      </w:r>
      <w:r>
        <w:rPr>
          <w:rFonts w:asciiTheme="minorEastAsia" w:hAnsiTheme="minorEastAsia" w:eastAsiaTheme="minorEastAsia" w:cstheme="minorEastAsia"/>
          <w:color w:val="000000" w:themeColor="text1"/>
          <w:sz w:val="32"/>
          <w:szCs w:val="32"/>
          <w14:textFill>
            <w14:solidFill>
              <w14:schemeClr w14:val="tx1"/>
            </w14:solidFill>
          </w14:textFill>
        </w:rPr>
        <w:t>建筑照明设计标准</w:t>
      </w:r>
      <w:r>
        <w:rPr>
          <w:rFonts w:hint="eastAsia" w:asciiTheme="minorEastAsia" w:hAnsiTheme="minorEastAsia" w:eastAsiaTheme="minorEastAsia" w:cstheme="minorEastAsia"/>
          <w:color w:val="000000" w:themeColor="text1"/>
          <w:sz w:val="32"/>
          <w:szCs w:val="32"/>
          <w14:textFill>
            <w14:solidFill>
              <w14:schemeClr w14:val="tx1"/>
            </w14:solidFill>
          </w14:textFill>
        </w:rPr>
        <w:t>》GB50034-2013的规定，人员长期工作或停留的房间或场所的照明光源显色指数不小于80。</w:t>
      </w:r>
    </w:p>
    <w:p>
      <w:pPr>
        <w:pStyle w:val="54"/>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(2)公共区域的照明功率密度值不高于《</w:t>
      </w:r>
      <w:r>
        <w:rPr>
          <w:rFonts w:asciiTheme="minorEastAsia" w:hAnsiTheme="minorEastAsia" w:eastAsiaTheme="minorEastAsia" w:cstheme="minorEastAsia"/>
          <w:color w:val="000000" w:themeColor="text1"/>
          <w:sz w:val="32"/>
          <w:szCs w:val="32"/>
          <w14:textFill>
            <w14:solidFill>
              <w14:schemeClr w14:val="tx1"/>
            </w14:solidFill>
          </w14:textFill>
        </w:rPr>
        <w:t>建筑照明设计标准</w:t>
      </w:r>
      <w:r>
        <w:rPr>
          <w:rFonts w:hint="eastAsia" w:asciiTheme="minorEastAsia" w:hAnsiTheme="minorEastAsia" w:eastAsiaTheme="minorEastAsia" w:cstheme="minorEastAsia"/>
          <w:color w:val="000000" w:themeColor="text1"/>
          <w:sz w:val="32"/>
          <w:szCs w:val="32"/>
          <w14:textFill>
            <w14:solidFill>
              <w14:schemeClr w14:val="tx1"/>
            </w14:solidFill>
          </w14:textFill>
        </w:rPr>
        <w:t>》GB50034-2013规定的目标值，公共建筑其他区域的照明功率密度值不高于《</w:t>
      </w:r>
      <w:r>
        <w:rPr>
          <w:rFonts w:asciiTheme="minorEastAsia" w:hAnsiTheme="minorEastAsia" w:eastAsiaTheme="minorEastAsia" w:cstheme="minorEastAsia"/>
          <w:color w:val="000000" w:themeColor="text1"/>
          <w:sz w:val="32"/>
          <w:szCs w:val="32"/>
          <w14:textFill>
            <w14:solidFill>
              <w14:schemeClr w14:val="tx1"/>
            </w14:solidFill>
          </w14:textFill>
        </w:rPr>
        <w:t>建筑照明设计标准</w:t>
      </w:r>
      <w:r>
        <w:rPr>
          <w:rFonts w:hint="eastAsia" w:asciiTheme="minorEastAsia" w:hAnsiTheme="minorEastAsia" w:eastAsiaTheme="minorEastAsia" w:cstheme="minorEastAsia"/>
          <w:color w:val="000000" w:themeColor="text1"/>
          <w:sz w:val="32"/>
          <w:szCs w:val="32"/>
          <w14:textFill>
            <w14:solidFill>
              <w14:schemeClr w14:val="tx1"/>
            </w14:solidFill>
          </w14:textFill>
        </w:rPr>
        <w:t>》GB50034-2013规定的现行值。</w:t>
      </w:r>
    </w:p>
    <w:p>
      <w:pPr>
        <w:pStyle w:val="54"/>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(3)公共建筑的计算范围为所有区域。</w:t>
      </w:r>
    </w:p>
    <w:p>
      <w:pPr>
        <w:pStyle w:val="54"/>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(4)照明系统按不同分区（自然光利用分区、功能分区、作息差异分区）进行设计。公共区域，如走廊、楼梯间、门厅、大堂、大空间、地下停车场等场所（人员密集场所除外）的照明系统采取声控、光控、定时控制、感应控制的一种或多种结合的节能控制措施，或采取照度调节的节能控制装置。</w:t>
      </w:r>
    </w:p>
    <w:p>
      <w:pPr>
        <w:pStyle w:val="54"/>
        <w:ind w:firstLine="1120" w:firstLineChars="35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4.3电气设备节能</w:t>
      </w:r>
    </w:p>
    <w:p>
      <w:pPr>
        <w:pStyle w:val="54"/>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 xml:space="preserve">  电气设备采用效率高、能耗低、性能先进的电气产品，并符合下列要求：</w:t>
      </w:r>
    </w:p>
    <w:p>
      <w:pPr>
        <w:pStyle w:val="54"/>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（1）采用先进控制技术的电梯。自动扶梯应具有节能拖动及节能控制装置。当采用2台及以上的电梯集中布置时，其控制系统应具备按程序集中调控和群控的功能。</w:t>
      </w:r>
    </w:p>
    <w:p>
      <w:pPr>
        <w:pStyle w:val="54"/>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（2）配电变压器选用D,yn11接线组别的变压器，其能效应达到现行国家标准《三相配电变压器能效限定值及节能评价值》GB20052中规定的节能评价值的要求。</w:t>
      </w:r>
    </w:p>
    <w:p>
      <w:pPr>
        <w:pStyle w:val="54"/>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（3）电梯电机能效应符合现行国家标准《中小型三相异步电动机能效限定值及能效等级》GB18613规定的2级及2级以上能效指标的要求。</w:t>
      </w:r>
    </w:p>
    <w:p>
      <w:pPr>
        <w:pStyle w:val="54"/>
        <w:ind w:firstLine="800" w:firstLineChars="25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4.4用电计量</w:t>
      </w:r>
    </w:p>
    <w:p>
      <w:pPr>
        <w:pStyle w:val="54"/>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w:t>
      </w:r>
      <w:r>
        <w:rPr>
          <w:rFonts w:asciiTheme="minorEastAsia" w:hAnsiTheme="minorEastAsia" w:eastAsiaTheme="minorEastAsia" w:cstheme="minorEastAsia"/>
          <w:color w:val="000000" w:themeColor="text1"/>
          <w:sz w:val="32"/>
          <w:szCs w:val="32"/>
          <w14:textFill>
            <w14:solidFill>
              <w14:schemeClr w14:val="tx1"/>
            </w14:solidFill>
          </w14:textFill>
        </w:rPr>
        <w:t>按照明</w:t>
      </w:r>
      <w:r>
        <w:rPr>
          <w:rFonts w:hint="eastAsia" w:asciiTheme="minorEastAsia" w:hAnsiTheme="minorEastAsia" w:eastAsiaTheme="minorEastAsia" w:cstheme="minorEastAsia"/>
          <w:color w:val="000000" w:themeColor="text1"/>
          <w:sz w:val="32"/>
          <w:szCs w:val="32"/>
          <w14:textFill>
            <w14:solidFill>
              <w14:schemeClr w14:val="tx1"/>
            </w14:solidFill>
          </w14:textFill>
        </w:rPr>
        <w:t>、</w:t>
      </w:r>
      <w:r>
        <w:rPr>
          <w:rFonts w:asciiTheme="minorEastAsia" w:hAnsiTheme="minorEastAsia" w:eastAsiaTheme="minorEastAsia" w:cstheme="minorEastAsia"/>
          <w:color w:val="000000" w:themeColor="text1"/>
          <w:sz w:val="32"/>
          <w:szCs w:val="32"/>
          <w14:textFill>
            <w14:solidFill>
              <w14:schemeClr w14:val="tx1"/>
            </w14:solidFill>
          </w14:textFill>
        </w:rPr>
        <w:t>插座、空调、电力</w:t>
      </w:r>
      <w:r>
        <w:rPr>
          <w:rFonts w:hint="eastAsia" w:asciiTheme="minorEastAsia" w:hAnsiTheme="minorEastAsia" w:eastAsiaTheme="minorEastAsia" w:cstheme="minorEastAsia"/>
          <w:color w:val="000000" w:themeColor="text1"/>
          <w:sz w:val="32"/>
          <w:szCs w:val="32"/>
          <w14:textFill>
            <w14:solidFill>
              <w14:schemeClr w14:val="tx1"/>
            </w14:solidFill>
          </w14:textFill>
        </w:rPr>
        <w:t>（</w:t>
      </w:r>
      <w:r>
        <w:rPr>
          <w:rFonts w:asciiTheme="minorEastAsia" w:hAnsiTheme="minorEastAsia" w:eastAsiaTheme="minorEastAsia" w:cstheme="minorEastAsia"/>
          <w:color w:val="000000" w:themeColor="text1"/>
          <w:sz w:val="32"/>
          <w:szCs w:val="32"/>
          <w14:textFill>
            <w14:solidFill>
              <w14:schemeClr w14:val="tx1"/>
            </w14:solidFill>
          </w14:textFill>
        </w:rPr>
        <w:t>包括电梯、非空调区域通风、生活热水、自来水加压、排污等建筑物常规功能的用电设备的耗电量）、特殊用电</w:t>
      </w:r>
      <w:r>
        <w:rPr>
          <w:rFonts w:hint="eastAsia" w:asciiTheme="minorEastAsia" w:hAnsiTheme="minorEastAsia" w:eastAsiaTheme="minorEastAsia" w:cstheme="minorEastAsia"/>
          <w:color w:val="000000" w:themeColor="text1"/>
          <w:sz w:val="32"/>
          <w:szCs w:val="32"/>
          <w14:textFill>
            <w14:solidFill>
              <w14:schemeClr w14:val="tx1"/>
            </w14:solidFill>
          </w14:textFill>
        </w:rPr>
        <w:t>(</w:t>
      </w:r>
      <w:r>
        <w:rPr>
          <w:rFonts w:asciiTheme="minorEastAsia" w:hAnsiTheme="minorEastAsia" w:eastAsiaTheme="minorEastAsia" w:cstheme="minorEastAsia"/>
          <w:color w:val="000000" w:themeColor="text1"/>
          <w:sz w:val="32"/>
          <w:szCs w:val="32"/>
          <w14:textFill>
            <w14:solidFill>
              <w14:schemeClr w14:val="tx1"/>
            </w14:solidFill>
          </w14:textFill>
        </w:rPr>
        <w:t>包括信息中心、洗衣房、厨房餐厅、电热水器</w:t>
      </w:r>
      <w:r>
        <w:rPr>
          <w:rFonts w:hint="eastAsia" w:asciiTheme="minorEastAsia" w:hAnsiTheme="minorEastAsia" w:eastAsiaTheme="minorEastAsia" w:cstheme="minorEastAsia"/>
          <w:color w:val="000000" w:themeColor="text1"/>
          <w:sz w:val="32"/>
          <w:szCs w:val="32"/>
          <w14:textFill>
            <w14:solidFill>
              <w14:schemeClr w14:val="tx1"/>
            </w14:solidFill>
          </w14:textFill>
        </w:rPr>
        <w:t>等</w:t>
      </w:r>
      <w:r>
        <w:rPr>
          <w:rFonts w:asciiTheme="minorEastAsia" w:hAnsiTheme="minorEastAsia" w:eastAsiaTheme="minorEastAsia" w:cstheme="minorEastAsia"/>
          <w:color w:val="000000" w:themeColor="text1"/>
          <w:sz w:val="32"/>
          <w:szCs w:val="32"/>
          <w14:textFill>
            <w14:solidFill>
              <w14:schemeClr w14:val="tx1"/>
            </w14:solidFill>
          </w14:textFill>
        </w:rPr>
        <w:t>不属于建筑物常规功能的用电设备的耗电量</w:t>
      </w:r>
      <w:r>
        <w:rPr>
          <w:rFonts w:hint="eastAsia" w:asciiTheme="minorEastAsia" w:hAnsiTheme="minorEastAsia" w:eastAsiaTheme="minorEastAsia" w:cstheme="minorEastAsia"/>
          <w:color w:val="000000" w:themeColor="text1"/>
          <w:sz w:val="32"/>
          <w:szCs w:val="32"/>
          <w14:textFill>
            <w14:solidFill>
              <w14:schemeClr w14:val="tx1"/>
            </w14:solidFill>
          </w14:textFill>
        </w:rPr>
        <w:t>)</w:t>
      </w:r>
      <w:r>
        <w:rPr>
          <w:rFonts w:asciiTheme="minorEastAsia" w:hAnsiTheme="minorEastAsia" w:eastAsiaTheme="minorEastAsia" w:cstheme="minorEastAsia"/>
          <w:color w:val="000000" w:themeColor="text1"/>
          <w:sz w:val="32"/>
          <w:szCs w:val="32"/>
          <w14:textFill>
            <w14:solidFill>
              <w14:schemeClr w14:val="tx1"/>
            </w14:solidFill>
          </w14:textFill>
        </w:rPr>
        <w:t>分项进行电能监测与计量</w:t>
      </w:r>
      <w:r>
        <w:rPr>
          <w:rFonts w:hint="eastAsia" w:asciiTheme="minorEastAsia" w:hAnsiTheme="minorEastAsia" w:eastAsiaTheme="minorEastAsia" w:cstheme="minorEastAsia"/>
          <w:color w:val="000000" w:themeColor="text1"/>
          <w:sz w:val="32"/>
          <w:szCs w:val="32"/>
          <w14:textFill>
            <w14:solidFill>
              <w14:schemeClr w14:val="tx1"/>
            </w14:solidFill>
          </w14:textFill>
        </w:rPr>
        <w:t>。</w:t>
      </w:r>
    </w:p>
    <w:p>
      <w:pPr>
        <w:pStyle w:val="54"/>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w:t>
      </w:r>
      <w:r>
        <w:rPr>
          <w:rFonts w:asciiTheme="minorEastAsia" w:hAnsiTheme="minorEastAsia" w:eastAsiaTheme="minorEastAsia" w:cstheme="minorEastAsia"/>
          <w:color w:val="000000" w:themeColor="text1"/>
          <w:sz w:val="32"/>
          <w:szCs w:val="32"/>
          <w14:textFill>
            <w14:solidFill>
              <w14:schemeClr w14:val="tx1"/>
            </w14:solidFill>
          </w14:textFill>
        </w:rPr>
        <w:t>用电能耗监测</w:t>
      </w:r>
      <w:r>
        <w:rPr>
          <w:rFonts w:hint="eastAsia" w:asciiTheme="minorEastAsia" w:hAnsiTheme="minorEastAsia" w:eastAsiaTheme="minorEastAsia" w:cstheme="minorEastAsia"/>
          <w:color w:val="000000" w:themeColor="text1"/>
          <w:sz w:val="32"/>
          <w:szCs w:val="32"/>
          <w14:textFill>
            <w14:solidFill>
              <w14:schemeClr w14:val="tx1"/>
            </w14:solidFill>
          </w14:textFill>
        </w:rPr>
        <w:t>系统按照《国家机关办公建筑和大型公共建筑能耗监测分项数据采集技术导则》规定设计。</w:t>
      </w:r>
    </w:p>
    <w:p>
      <w:pPr>
        <w:pStyle w:val="22"/>
        <w:jc w:val="both"/>
        <w:outlineLvl w:val="1"/>
        <w:rPr>
          <w:rFonts w:ascii="Arial" w:hAnsi="Arial" w:eastAsia="黑体"/>
          <w:color w:val="000000" w:themeColor="text1"/>
          <w:sz w:val="30"/>
          <w:szCs w:val="30"/>
          <w14:textFill>
            <w14:solidFill>
              <w14:schemeClr w14:val="tx1"/>
            </w14:solidFill>
          </w14:textFill>
        </w:rPr>
      </w:pPr>
      <w:bookmarkStart w:id="229" w:name="_Toc11779"/>
      <w:r>
        <w:rPr>
          <w:rFonts w:hint="eastAsia" w:ascii="Arial" w:hAnsi="Arial" w:eastAsia="黑体"/>
          <w:color w:val="000000" w:themeColor="text1"/>
          <w:sz w:val="30"/>
          <w:szCs w:val="30"/>
          <w14:textFill>
            <w14:solidFill>
              <w14:schemeClr w14:val="tx1"/>
            </w14:solidFill>
          </w14:textFill>
        </w:rPr>
        <w:t>13.6</w:t>
      </w:r>
      <w:r>
        <w:rPr>
          <w:rFonts w:hint="eastAsia" w:asciiTheme="minorEastAsia" w:hAnsiTheme="minorEastAsia" w:eastAsiaTheme="minorEastAsia" w:cstheme="minorEastAsia"/>
          <w:color w:val="000000" w:themeColor="text1"/>
          <w14:textFill>
            <w14:solidFill>
              <w14:schemeClr w14:val="tx1"/>
            </w14:solidFill>
          </w14:textFill>
        </w:rPr>
        <w:t>通风空调</w:t>
      </w:r>
      <w:r>
        <w:rPr>
          <w:rFonts w:hint="eastAsia" w:ascii="Arial" w:hAnsi="Arial" w:eastAsia="黑体"/>
          <w:color w:val="000000" w:themeColor="text1"/>
          <w:sz w:val="30"/>
          <w:szCs w:val="30"/>
          <w14:textFill>
            <w14:solidFill>
              <w14:schemeClr w14:val="tx1"/>
            </w14:solidFill>
          </w14:textFill>
        </w:rPr>
        <w:t>绿色设计措施</w:t>
      </w:r>
      <w:bookmarkEnd w:id="229"/>
    </w:p>
    <w:p>
      <w:pPr>
        <w:pStyle w:val="54"/>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w:t>
      </w:r>
      <w:r>
        <w:rPr>
          <w:rFonts w:asciiTheme="minorEastAsia" w:hAnsiTheme="minorEastAsia" w:eastAsiaTheme="minorEastAsia" w:cstheme="minorEastAsia"/>
          <w:color w:val="000000" w:themeColor="text1"/>
          <w:sz w:val="32"/>
          <w:szCs w:val="32"/>
          <w14:textFill>
            <w14:solidFill>
              <w14:schemeClr w14:val="tx1"/>
            </w14:solidFill>
          </w14:textFill>
        </w:rPr>
        <w:t>本工程设计严格遵循《公共建筑节能设计标准》GB 50189-2015中的相关规定。</w:t>
      </w:r>
    </w:p>
    <w:p>
      <w:pPr>
        <w:pStyle w:val="54"/>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w:t>
      </w:r>
      <w:r>
        <w:rPr>
          <w:rFonts w:asciiTheme="minorEastAsia" w:hAnsiTheme="minorEastAsia" w:eastAsiaTheme="minorEastAsia" w:cstheme="minorEastAsia"/>
          <w:color w:val="000000" w:themeColor="text1"/>
          <w:sz w:val="32"/>
          <w:szCs w:val="32"/>
          <w14:textFill>
            <w14:solidFill>
              <w14:schemeClr w14:val="tx1"/>
            </w14:solidFill>
          </w14:textFill>
        </w:rPr>
        <w:t>合理选择室内设计参数：</w:t>
      </w:r>
    </w:p>
    <w:p>
      <w:pPr>
        <w:pStyle w:val="54"/>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asciiTheme="minorEastAsia" w:hAnsiTheme="minorEastAsia" w:eastAsiaTheme="minorEastAsia" w:cstheme="minorEastAsia"/>
          <w:color w:val="000000" w:themeColor="text1"/>
          <w:sz w:val="32"/>
          <w:szCs w:val="32"/>
          <w14:textFill>
            <w14:solidFill>
              <w14:schemeClr w14:val="tx1"/>
            </w14:solidFill>
          </w14:textFill>
        </w:rPr>
        <w:t>建筑物维护结构的传热系数满足《公共建筑节能设计标准》及《云南省民用建筑节能规范》。空调室内环境设计参数满足《公共建筑节能设计标准》及《云南省民用建筑节能规范》。</w:t>
      </w:r>
    </w:p>
    <w:p>
      <w:pPr>
        <w:pStyle w:val="54"/>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3、</w:t>
      </w:r>
      <w:r>
        <w:rPr>
          <w:rFonts w:asciiTheme="minorEastAsia" w:hAnsiTheme="minorEastAsia" w:eastAsiaTheme="minorEastAsia" w:cstheme="minorEastAsia"/>
          <w:color w:val="000000" w:themeColor="text1"/>
          <w:sz w:val="32"/>
          <w:szCs w:val="32"/>
          <w14:textFill>
            <w14:solidFill>
              <w14:schemeClr w14:val="tx1"/>
            </w14:solidFill>
          </w14:textFill>
        </w:rPr>
        <w:t>根据相关规范要求选择合适的新风量和新风比。</w:t>
      </w:r>
    </w:p>
    <w:p>
      <w:pPr>
        <w:pStyle w:val="54"/>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4、</w:t>
      </w:r>
      <w:r>
        <w:rPr>
          <w:rFonts w:asciiTheme="minorEastAsia" w:hAnsiTheme="minorEastAsia" w:eastAsiaTheme="minorEastAsia" w:cstheme="minorEastAsia"/>
          <w:color w:val="000000" w:themeColor="text1"/>
          <w:sz w:val="32"/>
          <w:szCs w:val="32"/>
          <w14:textFill>
            <w14:solidFill>
              <w14:schemeClr w14:val="tx1"/>
            </w14:solidFill>
          </w14:textFill>
        </w:rPr>
        <w:t>通过准确的水力计算，确定水泵的扬程和风机的压力，选择合适的设备。</w:t>
      </w:r>
    </w:p>
    <w:p>
      <w:pPr>
        <w:pStyle w:val="54"/>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5、</w:t>
      </w:r>
      <w:r>
        <w:rPr>
          <w:rFonts w:asciiTheme="minorEastAsia" w:hAnsiTheme="minorEastAsia" w:eastAsiaTheme="minorEastAsia" w:cstheme="minorEastAsia"/>
          <w:color w:val="000000" w:themeColor="text1"/>
          <w:sz w:val="32"/>
          <w:szCs w:val="32"/>
          <w14:textFill>
            <w14:solidFill>
              <w14:schemeClr w14:val="tx1"/>
            </w14:solidFill>
          </w14:textFill>
        </w:rPr>
        <w:t>所有吊装在设备均设减振吊架，降低噪音对环境的污染；通风、空调室外机等设备置于屋面，均考虑隔振减噪。</w:t>
      </w:r>
    </w:p>
    <w:p>
      <w:pPr>
        <w:pStyle w:val="54"/>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6、</w:t>
      </w:r>
      <w:r>
        <w:rPr>
          <w:rFonts w:asciiTheme="minorEastAsia" w:hAnsiTheme="minorEastAsia" w:eastAsiaTheme="minorEastAsia" w:cstheme="minorEastAsia"/>
          <w:color w:val="000000" w:themeColor="text1"/>
          <w:sz w:val="32"/>
          <w:szCs w:val="32"/>
          <w14:textFill>
            <w14:solidFill>
              <w14:schemeClr w14:val="tx1"/>
            </w14:solidFill>
          </w14:textFill>
        </w:rPr>
        <w:t xml:space="preserve">空调冷、热负荷计算将采用专业软件进行详细、逐时计算，从而使设计更趋合理。 </w:t>
      </w:r>
    </w:p>
    <w:p>
      <w:pPr>
        <w:pStyle w:val="54"/>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7、</w:t>
      </w:r>
      <w:r>
        <w:rPr>
          <w:rFonts w:asciiTheme="minorEastAsia" w:hAnsiTheme="minorEastAsia" w:eastAsiaTheme="minorEastAsia" w:cstheme="minorEastAsia"/>
          <w:color w:val="000000" w:themeColor="text1"/>
          <w:sz w:val="32"/>
          <w:szCs w:val="32"/>
          <w14:textFill>
            <w14:solidFill>
              <w14:schemeClr w14:val="tx1"/>
            </w14:solidFill>
          </w14:textFill>
        </w:rPr>
        <w:t>采用高效、节能风机，平时所有的风机均选用单位风量耗功率Ws满足《公共建筑节能设计标准》GB50189-2015要求的节能产品；采用变制冷剂流量多联空调系统的空调机组，IPLV(C)值满足温和地区限值；空调系统采用智能化集中控制，空调系统制冷剂选用环保冷媒。</w:t>
      </w:r>
    </w:p>
    <w:p>
      <w:pPr>
        <w:pStyle w:val="54"/>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8、</w:t>
      </w:r>
      <w:r>
        <w:rPr>
          <w:rFonts w:asciiTheme="minorEastAsia" w:hAnsiTheme="minorEastAsia" w:eastAsiaTheme="minorEastAsia" w:cstheme="minorEastAsia"/>
          <w:color w:val="000000" w:themeColor="text1"/>
          <w:sz w:val="32"/>
          <w:szCs w:val="32"/>
          <w14:textFill>
            <w14:solidFill>
              <w14:schemeClr w14:val="tx1"/>
            </w14:solidFill>
          </w14:textFill>
        </w:rPr>
        <w:t>根据建筑物各分区使用功能、使用时间及空调方式等合理设置空调系统、机械通风系统，在满足各功能分区环境舒适、安全的前提下，降低系统投资和运行费用，并能达到管理计费方便的目的。</w:t>
      </w:r>
    </w:p>
    <w:p>
      <w:pPr>
        <w:pStyle w:val="54"/>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9、</w:t>
      </w:r>
      <w:r>
        <w:rPr>
          <w:rFonts w:asciiTheme="minorEastAsia" w:hAnsiTheme="minorEastAsia" w:eastAsiaTheme="minorEastAsia" w:cstheme="minorEastAsia"/>
          <w:color w:val="000000" w:themeColor="text1"/>
          <w:sz w:val="32"/>
          <w:szCs w:val="32"/>
          <w14:textFill>
            <w14:solidFill>
              <w14:schemeClr w14:val="tx1"/>
            </w14:solidFill>
          </w14:textFill>
        </w:rPr>
        <w:t>采用变制冷剂流量中央空调系统，系统主机直流变频控制，负荷调节性能优秀，机组效率高。</w:t>
      </w:r>
    </w:p>
    <w:p>
      <w:pPr>
        <w:pStyle w:val="54"/>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10、</w:t>
      </w:r>
      <w:r>
        <w:rPr>
          <w:rFonts w:asciiTheme="minorEastAsia" w:hAnsiTheme="minorEastAsia" w:eastAsiaTheme="minorEastAsia" w:cstheme="minorEastAsia"/>
          <w:color w:val="000000" w:themeColor="text1"/>
          <w:sz w:val="32"/>
          <w:szCs w:val="32"/>
          <w14:textFill>
            <w14:solidFill>
              <w14:schemeClr w14:val="tx1"/>
            </w14:solidFill>
          </w14:textFill>
        </w:rPr>
        <w:t>新风的利用。全空气系统均按照全新风工况设置，过渡季节可利用室外新风消除室内的余热余湿，减低制冷主机的运行费用。</w:t>
      </w:r>
    </w:p>
    <w:p>
      <w:pPr>
        <w:pStyle w:val="54"/>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11、</w:t>
      </w:r>
      <w:r>
        <w:rPr>
          <w:rFonts w:asciiTheme="minorEastAsia" w:hAnsiTheme="minorEastAsia" w:eastAsiaTheme="minorEastAsia" w:cstheme="minorEastAsia"/>
          <w:color w:val="000000" w:themeColor="text1"/>
          <w:sz w:val="32"/>
          <w:szCs w:val="32"/>
          <w14:textFill>
            <w14:solidFill>
              <w14:schemeClr w14:val="tx1"/>
            </w14:solidFill>
          </w14:textFill>
        </w:rPr>
        <w:t>废气影响防治：废气通过排风机经土建风道高于室外地坪2.5m以上排放。垃圾房设置机械排风系统，废气经纳米光子除臭装置处理后高空排放。浴厕和开水间设机械排风系统，将废气排至室外。</w:t>
      </w:r>
    </w:p>
    <w:p>
      <w:pPr>
        <w:pStyle w:val="54"/>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12、</w:t>
      </w:r>
      <w:r>
        <w:rPr>
          <w:rFonts w:asciiTheme="minorEastAsia" w:hAnsiTheme="minorEastAsia" w:eastAsiaTheme="minorEastAsia" w:cstheme="minorEastAsia"/>
          <w:color w:val="000000" w:themeColor="text1"/>
          <w:sz w:val="32"/>
          <w:szCs w:val="32"/>
          <w14:textFill>
            <w14:solidFill>
              <w14:schemeClr w14:val="tx1"/>
            </w14:solidFill>
          </w14:textFill>
        </w:rPr>
        <w:t>空调系统采用合理的保温材料及保温厚度以满足节能环保的要求。</w:t>
      </w:r>
    </w:p>
    <w:p>
      <w:pPr>
        <w:pStyle w:val="54"/>
        <w:ind w:firstLine="640" w:firstLineChars="200"/>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13、</w:t>
      </w:r>
      <w:r>
        <w:rPr>
          <w:rFonts w:asciiTheme="minorEastAsia" w:hAnsiTheme="minorEastAsia" w:eastAsiaTheme="minorEastAsia" w:cstheme="minorEastAsia"/>
          <w:color w:val="000000" w:themeColor="text1"/>
          <w:sz w:val="32"/>
          <w:szCs w:val="32"/>
          <w14:textFill>
            <w14:solidFill>
              <w14:schemeClr w14:val="tx1"/>
            </w14:solidFill>
          </w14:textFill>
        </w:rPr>
        <w:t>柴油发电机的高温烟气经滤尘降噪后至建筑顶层高空排放。针对不同的有害气体，采用相应的处理措施及要求排放。</w:t>
      </w:r>
    </w:p>
    <w:p>
      <w:pPr>
        <w:ind w:firstLine="560" w:firstLineChars="200"/>
        <w:rPr>
          <w:color w:val="000000" w:themeColor="text1"/>
          <w:sz w:val="28"/>
          <w:szCs w:val="28"/>
          <w14:textFill>
            <w14:solidFill>
              <w14:schemeClr w14:val="tx1"/>
            </w14:solidFill>
          </w14:textFill>
        </w:rPr>
      </w:pPr>
    </w:p>
    <w:p>
      <w:pPr>
        <w:rPr>
          <w:rFonts w:asciiTheme="minorEastAsia" w:hAnsiTheme="minorEastAsia" w:eastAsiaTheme="minorEastAsia" w:cstheme="minorEastAsia"/>
          <w:color w:val="000000" w:themeColor="text1"/>
          <w:sz w:val="32"/>
          <w:szCs w:val="32"/>
          <w14:textFill>
            <w14:solidFill>
              <w14:schemeClr w14:val="tx1"/>
            </w14:solidFill>
          </w14:textFill>
        </w:rPr>
      </w:pPr>
    </w:p>
    <w:sectPr>
      <w:pgSz w:w="23814" w:h="16840" w:orient="landscape"/>
      <w:pgMar w:top="1797" w:right="1440" w:bottom="1797" w:left="1440" w:header="851" w:footer="992" w:gutter="0"/>
      <w:cols w:space="425"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pPr>
    <w:r>
      <w:ptab w:relativeTo="margin" w:alignment="center" w:leader="none"/>
    </w:r>
  </w:p>
  <w:p>
    <w:pPr>
      <w:pStyle w:val="14"/>
      <w:ind w:right="360"/>
      <w:rPr>
        <w:rFonts w:asciiTheme="minorEastAsia" w:hAnsiTheme="minorEastAsia" w:eastAsiaTheme="minorEastAsia"/>
        <w:sz w:val="28"/>
        <w:szCs w:val="28"/>
      </w:rPr>
    </w:pPr>
    <w:r>
      <w:ptab w:relativeTo="margin" w:alignment="right" w:leader="none"/>
    </w:r>
    <w:r>
      <w:rPr>
        <w:rFonts w:hint="eastAsia" w:asciiTheme="minorEastAsia" w:hAnsiTheme="minorEastAsia" w:eastAsiaTheme="minorEastAsia"/>
        <w:sz w:val="28"/>
        <w:szCs w:val="28"/>
      </w:rPr>
      <w:t>2022年0</w:t>
    </w:r>
    <w:r>
      <w:rPr>
        <w:rFonts w:hint="eastAsia" w:asciiTheme="minorEastAsia" w:hAnsiTheme="minorEastAsia" w:eastAsiaTheme="minorEastAsia"/>
        <w:sz w:val="28"/>
        <w:szCs w:val="28"/>
        <w:lang w:val="en-US" w:eastAsia="zh-CN"/>
      </w:rPr>
      <w:t>7</w:t>
    </w:r>
    <w:r>
      <w:rPr>
        <w:rFonts w:hint="eastAsia" w:asciiTheme="minorEastAsia" w:hAnsiTheme="minorEastAsia" w:eastAsiaTheme="minorEastAsia"/>
        <w:sz w:val="28"/>
        <w:szCs w:val="28"/>
      </w:rPr>
      <w:t>月</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27"/>
      </w:rPr>
    </w:pPr>
    <w:r>
      <w:rPr>
        <w:rStyle w:val="27"/>
      </w:rPr>
      <w:fldChar w:fldCharType="begin"/>
    </w:r>
    <w:r>
      <w:rPr>
        <w:rStyle w:val="27"/>
      </w:rPr>
      <w:instrText xml:space="preserve">PAGE  </w:instrText>
    </w:r>
    <w:r>
      <w:rPr>
        <w:rStyle w:val="27"/>
      </w:rPr>
      <w:fldChar w:fldCharType="end"/>
    </w:r>
  </w:p>
  <w:p>
    <w:pPr>
      <w:pStyle w:val="1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Theme="minorEastAsia" w:hAnsiTheme="minorEastAsia" w:eastAsiaTheme="minorEastAsia"/>
        <w:sz w:val="28"/>
        <w:szCs w:val="28"/>
      </w:rPr>
    </w:pPr>
    <w:r>
      <w:ptab w:relativeTo="margin" w:alignment="center" w:leader="none"/>
    </w:r>
    <w:r>
      <w:ptab w:relativeTo="margin" w:alignment="right" w:leader="none"/>
    </w:r>
    <w:r>
      <w:rPr>
        <w:rFonts w:hint="eastAsia" w:asciiTheme="minorEastAsia" w:hAnsiTheme="minorEastAsia" w:eastAsiaTheme="minorEastAsia"/>
        <w:sz w:val="28"/>
        <w:szCs w:val="28"/>
      </w:rPr>
      <w:t>2022年0</w:t>
    </w:r>
    <w:r>
      <w:rPr>
        <w:rFonts w:hint="eastAsia" w:asciiTheme="minorEastAsia" w:hAnsiTheme="minorEastAsia" w:eastAsiaTheme="minorEastAsia"/>
        <w:sz w:val="28"/>
        <w:szCs w:val="28"/>
        <w:lang w:val="en-US" w:eastAsia="zh-CN"/>
      </w:rPr>
      <w:t>7</w:t>
    </w:r>
    <w:r>
      <w:rPr>
        <w:rFonts w:hint="eastAsia" w:asciiTheme="minorEastAsia" w:hAnsiTheme="minorEastAsia" w:eastAsiaTheme="minorEastAsia"/>
        <w:sz w:val="28"/>
        <w:szCs w:val="28"/>
      </w:rPr>
      <w:t>月</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thickThinSmallGap" w:color="622423" w:themeColor="accent2" w:themeShade="7F" w:sz="24" w:space="1"/>
      </w:pBdr>
      <w:rPr>
        <w:rFonts w:asciiTheme="majorHAnsi" w:hAnsiTheme="majorHAnsi" w:eastAsiaTheme="majorEastAsia" w:cstheme="majorBidi"/>
        <w:sz w:val="32"/>
        <w:szCs w:val="32"/>
      </w:rPr>
    </w:pPr>
  </w:p>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thickThinSmallGap" w:color="622423" w:themeColor="accent2" w:themeShade="7F" w:sz="24" w:space="1"/>
      </w:pBdr>
      <w:rPr>
        <w:rFonts w:asciiTheme="majorHAnsi" w:hAnsiTheme="majorHAnsi" w:eastAsiaTheme="majorEastAsia" w:cstheme="majorBidi"/>
        <w:sz w:val="32"/>
        <w:szCs w:val="32"/>
      </w:rPr>
    </w:pPr>
  </w:p>
  <w:p>
    <w:pPr>
      <w:pStyle w:val="15"/>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E01D26"/>
    <w:multiLevelType w:val="singleLevel"/>
    <w:tmpl w:val="E6E01D26"/>
    <w:lvl w:ilvl="0" w:tentative="0">
      <w:start w:val="1"/>
      <w:numFmt w:val="decimal"/>
      <w:suff w:val="nothing"/>
      <w:lvlText w:val="（%1）"/>
      <w:lvlJc w:val="left"/>
      <w:pPr>
        <w:ind w:left="-540"/>
      </w:pPr>
    </w:lvl>
  </w:abstractNum>
  <w:abstractNum w:abstractNumId="1">
    <w:nsid w:val="5F806AA5"/>
    <w:multiLevelType w:val="multilevel"/>
    <w:tmpl w:val="5F806AA5"/>
    <w:lvl w:ilvl="0" w:tentative="0">
      <w:start w:val="1"/>
      <w:numFmt w:val="chineseCountingThousand"/>
      <w:pStyle w:val="50"/>
      <w:lvlText w:val="%1、"/>
      <w:lvlJc w:val="left"/>
      <w:pPr>
        <w:tabs>
          <w:tab w:val="left" w:pos="420"/>
        </w:tabs>
        <w:ind w:left="420" w:hanging="420"/>
      </w:pPr>
    </w:lvl>
    <w:lvl w:ilvl="1" w:tentative="0">
      <w:start w:val="1"/>
      <w:numFmt w:val="decimal"/>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2YzhmNGIwYjAxYjA1N2FiNjc4OTY4ODNkNTJjNTEifQ=="/>
  </w:docVars>
  <w:rsids>
    <w:rsidRoot w:val="00C416D2"/>
    <w:rsid w:val="00001376"/>
    <w:rsid w:val="00003CC7"/>
    <w:rsid w:val="00006F9A"/>
    <w:rsid w:val="00016267"/>
    <w:rsid w:val="00030D57"/>
    <w:rsid w:val="00031FB4"/>
    <w:rsid w:val="00036993"/>
    <w:rsid w:val="0004221B"/>
    <w:rsid w:val="0005767F"/>
    <w:rsid w:val="00061272"/>
    <w:rsid w:val="0006281D"/>
    <w:rsid w:val="00063794"/>
    <w:rsid w:val="000B0EA2"/>
    <w:rsid w:val="000B1F2A"/>
    <w:rsid w:val="000B491C"/>
    <w:rsid w:val="000C4594"/>
    <w:rsid w:val="000E11FE"/>
    <w:rsid w:val="000E6F45"/>
    <w:rsid w:val="000F2C79"/>
    <w:rsid w:val="000F3E82"/>
    <w:rsid w:val="001020F2"/>
    <w:rsid w:val="00116343"/>
    <w:rsid w:val="00116AAD"/>
    <w:rsid w:val="0012784C"/>
    <w:rsid w:val="00127B4B"/>
    <w:rsid w:val="00131604"/>
    <w:rsid w:val="00141C9C"/>
    <w:rsid w:val="00161113"/>
    <w:rsid w:val="00173447"/>
    <w:rsid w:val="0019487B"/>
    <w:rsid w:val="00197097"/>
    <w:rsid w:val="001A2220"/>
    <w:rsid w:val="001B288A"/>
    <w:rsid w:val="001B3B0F"/>
    <w:rsid w:val="001B630E"/>
    <w:rsid w:val="001C37E8"/>
    <w:rsid w:val="001D471F"/>
    <w:rsid w:val="001D6001"/>
    <w:rsid w:val="001E1703"/>
    <w:rsid w:val="001F5BEF"/>
    <w:rsid w:val="002142FA"/>
    <w:rsid w:val="0022132D"/>
    <w:rsid w:val="00221B46"/>
    <w:rsid w:val="00231E94"/>
    <w:rsid w:val="002465A8"/>
    <w:rsid w:val="00250766"/>
    <w:rsid w:val="00274AFE"/>
    <w:rsid w:val="00275F00"/>
    <w:rsid w:val="00290C97"/>
    <w:rsid w:val="002C1E6D"/>
    <w:rsid w:val="002E1EC2"/>
    <w:rsid w:val="002F6B52"/>
    <w:rsid w:val="00306185"/>
    <w:rsid w:val="00322E7F"/>
    <w:rsid w:val="003447CF"/>
    <w:rsid w:val="00345B67"/>
    <w:rsid w:val="0034613D"/>
    <w:rsid w:val="003463F0"/>
    <w:rsid w:val="00350749"/>
    <w:rsid w:val="00357275"/>
    <w:rsid w:val="00365C77"/>
    <w:rsid w:val="00366475"/>
    <w:rsid w:val="0037557D"/>
    <w:rsid w:val="0038091D"/>
    <w:rsid w:val="00382270"/>
    <w:rsid w:val="00395E03"/>
    <w:rsid w:val="003C22D3"/>
    <w:rsid w:val="003C3032"/>
    <w:rsid w:val="003D0D1E"/>
    <w:rsid w:val="003D15C2"/>
    <w:rsid w:val="003D7DC2"/>
    <w:rsid w:val="003E2091"/>
    <w:rsid w:val="003E439D"/>
    <w:rsid w:val="003E5406"/>
    <w:rsid w:val="003F0479"/>
    <w:rsid w:val="003F1410"/>
    <w:rsid w:val="003F5A91"/>
    <w:rsid w:val="00405F8C"/>
    <w:rsid w:val="00424CEB"/>
    <w:rsid w:val="0043295D"/>
    <w:rsid w:val="0043316D"/>
    <w:rsid w:val="00436FD5"/>
    <w:rsid w:val="00452CC2"/>
    <w:rsid w:val="00456CFA"/>
    <w:rsid w:val="00463377"/>
    <w:rsid w:val="00474D4A"/>
    <w:rsid w:val="00493D4F"/>
    <w:rsid w:val="004962F6"/>
    <w:rsid w:val="00496983"/>
    <w:rsid w:val="004A2476"/>
    <w:rsid w:val="004A4487"/>
    <w:rsid w:val="004A7686"/>
    <w:rsid w:val="004B03BD"/>
    <w:rsid w:val="004B558D"/>
    <w:rsid w:val="004C0D21"/>
    <w:rsid w:val="004C2677"/>
    <w:rsid w:val="004D5DB8"/>
    <w:rsid w:val="004E2BE7"/>
    <w:rsid w:val="004E371D"/>
    <w:rsid w:val="004E6E26"/>
    <w:rsid w:val="004E73BD"/>
    <w:rsid w:val="005045F2"/>
    <w:rsid w:val="00512CA5"/>
    <w:rsid w:val="00537F5A"/>
    <w:rsid w:val="00545B17"/>
    <w:rsid w:val="00566D11"/>
    <w:rsid w:val="0057076D"/>
    <w:rsid w:val="00577357"/>
    <w:rsid w:val="00592294"/>
    <w:rsid w:val="005A165C"/>
    <w:rsid w:val="005A1CD2"/>
    <w:rsid w:val="005C0B96"/>
    <w:rsid w:val="005C1A9D"/>
    <w:rsid w:val="005D68E5"/>
    <w:rsid w:val="005D6D65"/>
    <w:rsid w:val="005F0700"/>
    <w:rsid w:val="005F460A"/>
    <w:rsid w:val="0061347C"/>
    <w:rsid w:val="0061363C"/>
    <w:rsid w:val="00613DA2"/>
    <w:rsid w:val="00620725"/>
    <w:rsid w:val="0062366C"/>
    <w:rsid w:val="006300D3"/>
    <w:rsid w:val="00630BEB"/>
    <w:rsid w:val="00637FF4"/>
    <w:rsid w:val="00651428"/>
    <w:rsid w:val="00656C0E"/>
    <w:rsid w:val="00666439"/>
    <w:rsid w:val="00673990"/>
    <w:rsid w:val="00674685"/>
    <w:rsid w:val="0068753B"/>
    <w:rsid w:val="006913AF"/>
    <w:rsid w:val="006945FD"/>
    <w:rsid w:val="006B27A6"/>
    <w:rsid w:val="006B5644"/>
    <w:rsid w:val="006D364B"/>
    <w:rsid w:val="006D5D23"/>
    <w:rsid w:val="006F3285"/>
    <w:rsid w:val="0070105E"/>
    <w:rsid w:val="00704110"/>
    <w:rsid w:val="0071239F"/>
    <w:rsid w:val="007169A0"/>
    <w:rsid w:val="0072040A"/>
    <w:rsid w:val="00720F50"/>
    <w:rsid w:val="00721C0A"/>
    <w:rsid w:val="007266E5"/>
    <w:rsid w:val="007331A3"/>
    <w:rsid w:val="00733C85"/>
    <w:rsid w:val="00736101"/>
    <w:rsid w:val="00743E44"/>
    <w:rsid w:val="0075012F"/>
    <w:rsid w:val="00754092"/>
    <w:rsid w:val="007547D0"/>
    <w:rsid w:val="00775141"/>
    <w:rsid w:val="007955B6"/>
    <w:rsid w:val="007A7211"/>
    <w:rsid w:val="007C30A9"/>
    <w:rsid w:val="007C50E0"/>
    <w:rsid w:val="007D5A5C"/>
    <w:rsid w:val="007D66A4"/>
    <w:rsid w:val="007E60DF"/>
    <w:rsid w:val="007E6C7C"/>
    <w:rsid w:val="007F478C"/>
    <w:rsid w:val="00812D0F"/>
    <w:rsid w:val="0081784B"/>
    <w:rsid w:val="00826286"/>
    <w:rsid w:val="008329EC"/>
    <w:rsid w:val="0083769C"/>
    <w:rsid w:val="0084122E"/>
    <w:rsid w:val="00857C0A"/>
    <w:rsid w:val="00867B5C"/>
    <w:rsid w:val="008756C7"/>
    <w:rsid w:val="00883AE9"/>
    <w:rsid w:val="00891376"/>
    <w:rsid w:val="0089710E"/>
    <w:rsid w:val="008A0DDB"/>
    <w:rsid w:val="008A54AB"/>
    <w:rsid w:val="008A63DB"/>
    <w:rsid w:val="008B66E8"/>
    <w:rsid w:val="008B6E4D"/>
    <w:rsid w:val="008C10CC"/>
    <w:rsid w:val="008C146B"/>
    <w:rsid w:val="008C1E25"/>
    <w:rsid w:val="008D2AF9"/>
    <w:rsid w:val="008E119F"/>
    <w:rsid w:val="008F693C"/>
    <w:rsid w:val="008F697D"/>
    <w:rsid w:val="008F6F28"/>
    <w:rsid w:val="008F75A3"/>
    <w:rsid w:val="00901254"/>
    <w:rsid w:val="009076C3"/>
    <w:rsid w:val="00916AEF"/>
    <w:rsid w:val="00933A40"/>
    <w:rsid w:val="009376DC"/>
    <w:rsid w:val="00954369"/>
    <w:rsid w:val="00967315"/>
    <w:rsid w:val="00971C12"/>
    <w:rsid w:val="009743AE"/>
    <w:rsid w:val="00977EE9"/>
    <w:rsid w:val="00980C90"/>
    <w:rsid w:val="00982E17"/>
    <w:rsid w:val="009838EC"/>
    <w:rsid w:val="00984D3E"/>
    <w:rsid w:val="00986E66"/>
    <w:rsid w:val="009923AE"/>
    <w:rsid w:val="00994638"/>
    <w:rsid w:val="009B1114"/>
    <w:rsid w:val="009B3F38"/>
    <w:rsid w:val="009C3065"/>
    <w:rsid w:val="009E574C"/>
    <w:rsid w:val="009E6EC8"/>
    <w:rsid w:val="009F6668"/>
    <w:rsid w:val="00A01D74"/>
    <w:rsid w:val="00A12E09"/>
    <w:rsid w:val="00A302A5"/>
    <w:rsid w:val="00A539DA"/>
    <w:rsid w:val="00A6036D"/>
    <w:rsid w:val="00A7289D"/>
    <w:rsid w:val="00A8142B"/>
    <w:rsid w:val="00A844DB"/>
    <w:rsid w:val="00A86994"/>
    <w:rsid w:val="00AA7682"/>
    <w:rsid w:val="00AB0877"/>
    <w:rsid w:val="00AB63B5"/>
    <w:rsid w:val="00AB6999"/>
    <w:rsid w:val="00AC4DFC"/>
    <w:rsid w:val="00AF35D7"/>
    <w:rsid w:val="00AF4C8E"/>
    <w:rsid w:val="00AF4FEB"/>
    <w:rsid w:val="00B014F1"/>
    <w:rsid w:val="00B01568"/>
    <w:rsid w:val="00B0374F"/>
    <w:rsid w:val="00B125A8"/>
    <w:rsid w:val="00B23768"/>
    <w:rsid w:val="00B45023"/>
    <w:rsid w:val="00B65ADF"/>
    <w:rsid w:val="00B66B70"/>
    <w:rsid w:val="00B829A0"/>
    <w:rsid w:val="00B870D9"/>
    <w:rsid w:val="00BB7796"/>
    <w:rsid w:val="00BB79BF"/>
    <w:rsid w:val="00BC2574"/>
    <w:rsid w:val="00BD409F"/>
    <w:rsid w:val="00BD456F"/>
    <w:rsid w:val="00BE1DE4"/>
    <w:rsid w:val="00BE69E7"/>
    <w:rsid w:val="00C01C79"/>
    <w:rsid w:val="00C17AD4"/>
    <w:rsid w:val="00C250DD"/>
    <w:rsid w:val="00C32E50"/>
    <w:rsid w:val="00C416D2"/>
    <w:rsid w:val="00C5475D"/>
    <w:rsid w:val="00C54B01"/>
    <w:rsid w:val="00C55323"/>
    <w:rsid w:val="00C65ECA"/>
    <w:rsid w:val="00C7363C"/>
    <w:rsid w:val="00C83DD2"/>
    <w:rsid w:val="00CA5D45"/>
    <w:rsid w:val="00CA6489"/>
    <w:rsid w:val="00CB044A"/>
    <w:rsid w:val="00CB15D8"/>
    <w:rsid w:val="00CB3EC4"/>
    <w:rsid w:val="00CC05C5"/>
    <w:rsid w:val="00CC297E"/>
    <w:rsid w:val="00CC2AA5"/>
    <w:rsid w:val="00CD141A"/>
    <w:rsid w:val="00CE06AE"/>
    <w:rsid w:val="00CE5C68"/>
    <w:rsid w:val="00CF15AC"/>
    <w:rsid w:val="00CF1DC9"/>
    <w:rsid w:val="00CF2DD7"/>
    <w:rsid w:val="00CF5D8C"/>
    <w:rsid w:val="00CF6066"/>
    <w:rsid w:val="00D007BA"/>
    <w:rsid w:val="00D00964"/>
    <w:rsid w:val="00D015B0"/>
    <w:rsid w:val="00D0368C"/>
    <w:rsid w:val="00D10308"/>
    <w:rsid w:val="00D11CE5"/>
    <w:rsid w:val="00D1402E"/>
    <w:rsid w:val="00D206BF"/>
    <w:rsid w:val="00D22ECB"/>
    <w:rsid w:val="00D245E3"/>
    <w:rsid w:val="00D36243"/>
    <w:rsid w:val="00D44EFF"/>
    <w:rsid w:val="00D53DC1"/>
    <w:rsid w:val="00D605D0"/>
    <w:rsid w:val="00D72524"/>
    <w:rsid w:val="00D761B6"/>
    <w:rsid w:val="00DE2B30"/>
    <w:rsid w:val="00DF0605"/>
    <w:rsid w:val="00DF6C98"/>
    <w:rsid w:val="00E02289"/>
    <w:rsid w:val="00E14177"/>
    <w:rsid w:val="00E20CA6"/>
    <w:rsid w:val="00E21727"/>
    <w:rsid w:val="00E43F4E"/>
    <w:rsid w:val="00E569DD"/>
    <w:rsid w:val="00E56C42"/>
    <w:rsid w:val="00E71F77"/>
    <w:rsid w:val="00E758EE"/>
    <w:rsid w:val="00E90287"/>
    <w:rsid w:val="00E9559A"/>
    <w:rsid w:val="00EC6813"/>
    <w:rsid w:val="00EC7094"/>
    <w:rsid w:val="00EE6FB2"/>
    <w:rsid w:val="00EF5C5E"/>
    <w:rsid w:val="00F00C01"/>
    <w:rsid w:val="00F142C0"/>
    <w:rsid w:val="00F14D91"/>
    <w:rsid w:val="00F210D4"/>
    <w:rsid w:val="00F72E9A"/>
    <w:rsid w:val="00F73309"/>
    <w:rsid w:val="00F92A1C"/>
    <w:rsid w:val="00FC0F0C"/>
    <w:rsid w:val="00FC1A98"/>
    <w:rsid w:val="00FE2465"/>
    <w:rsid w:val="01046985"/>
    <w:rsid w:val="0168272E"/>
    <w:rsid w:val="019B658A"/>
    <w:rsid w:val="01A05164"/>
    <w:rsid w:val="01C90EC1"/>
    <w:rsid w:val="01D40A28"/>
    <w:rsid w:val="01F076B3"/>
    <w:rsid w:val="02370A85"/>
    <w:rsid w:val="0237366B"/>
    <w:rsid w:val="02516ABC"/>
    <w:rsid w:val="025532AF"/>
    <w:rsid w:val="029A2F00"/>
    <w:rsid w:val="02A721FC"/>
    <w:rsid w:val="02C837B7"/>
    <w:rsid w:val="02DB1049"/>
    <w:rsid w:val="030704A0"/>
    <w:rsid w:val="034D484D"/>
    <w:rsid w:val="03597D72"/>
    <w:rsid w:val="03C36F81"/>
    <w:rsid w:val="041203A6"/>
    <w:rsid w:val="04435B50"/>
    <w:rsid w:val="04E43C9B"/>
    <w:rsid w:val="055A7436"/>
    <w:rsid w:val="05C921B3"/>
    <w:rsid w:val="05EB44B4"/>
    <w:rsid w:val="06980FB0"/>
    <w:rsid w:val="06EA3C5D"/>
    <w:rsid w:val="07436420"/>
    <w:rsid w:val="075803AE"/>
    <w:rsid w:val="078608E3"/>
    <w:rsid w:val="07A0448B"/>
    <w:rsid w:val="07A546EF"/>
    <w:rsid w:val="07BC6B0F"/>
    <w:rsid w:val="07D251F2"/>
    <w:rsid w:val="08537E34"/>
    <w:rsid w:val="085C55E1"/>
    <w:rsid w:val="0876318E"/>
    <w:rsid w:val="08BD5030"/>
    <w:rsid w:val="08D02EE5"/>
    <w:rsid w:val="08FC5893"/>
    <w:rsid w:val="09615AA7"/>
    <w:rsid w:val="09AD68E9"/>
    <w:rsid w:val="0AAF2529"/>
    <w:rsid w:val="0AC72CE5"/>
    <w:rsid w:val="0AD83935"/>
    <w:rsid w:val="0B3D1543"/>
    <w:rsid w:val="0B632279"/>
    <w:rsid w:val="0B643E2A"/>
    <w:rsid w:val="0B851470"/>
    <w:rsid w:val="0BE90C01"/>
    <w:rsid w:val="0C253B16"/>
    <w:rsid w:val="0C760A4E"/>
    <w:rsid w:val="0C9D190E"/>
    <w:rsid w:val="0CB90982"/>
    <w:rsid w:val="0D3F30D9"/>
    <w:rsid w:val="0D8218B4"/>
    <w:rsid w:val="0D9D559F"/>
    <w:rsid w:val="0E6258F5"/>
    <w:rsid w:val="0E76647B"/>
    <w:rsid w:val="0EC35F79"/>
    <w:rsid w:val="0EFA4E99"/>
    <w:rsid w:val="0F1C2F6A"/>
    <w:rsid w:val="0F3A2928"/>
    <w:rsid w:val="0FC906F0"/>
    <w:rsid w:val="100906F5"/>
    <w:rsid w:val="105C6685"/>
    <w:rsid w:val="10817E99"/>
    <w:rsid w:val="10F667B0"/>
    <w:rsid w:val="11587F12"/>
    <w:rsid w:val="11A000D7"/>
    <w:rsid w:val="11A303E2"/>
    <w:rsid w:val="11A622AD"/>
    <w:rsid w:val="11B2308A"/>
    <w:rsid w:val="12155363"/>
    <w:rsid w:val="12BD2011"/>
    <w:rsid w:val="130063A6"/>
    <w:rsid w:val="130156ED"/>
    <w:rsid w:val="130628D8"/>
    <w:rsid w:val="13192FD9"/>
    <w:rsid w:val="134F6053"/>
    <w:rsid w:val="139042F5"/>
    <w:rsid w:val="13C74449"/>
    <w:rsid w:val="13E6469C"/>
    <w:rsid w:val="147D780D"/>
    <w:rsid w:val="14A06783"/>
    <w:rsid w:val="14A721A4"/>
    <w:rsid w:val="1571103E"/>
    <w:rsid w:val="15890BEB"/>
    <w:rsid w:val="159E2E55"/>
    <w:rsid w:val="159E44EF"/>
    <w:rsid w:val="15D05E65"/>
    <w:rsid w:val="161A47F8"/>
    <w:rsid w:val="166E6143"/>
    <w:rsid w:val="16AF2B31"/>
    <w:rsid w:val="16D93E6A"/>
    <w:rsid w:val="173322B2"/>
    <w:rsid w:val="17390D8A"/>
    <w:rsid w:val="174A472C"/>
    <w:rsid w:val="176063BD"/>
    <w:rsid w:val="176D50B6"/>
    <w:rsid w:val="17BD7801"/>
    <w:rsid w:val="17D218D3"/>
    <w:rsid w:val="17DF7073"/>
    <w:rsid w:val="181E1D89"/>
    <w:rsid w:val="19693FDB"/>
    <w:rsid w:val="1A2F52B9"/>
    <w:rsid w:val="1A362AC1"/>
    <w:rsid w:val="1AA62491"/>
    <w:rsid w:val="1AEF3710"/>
    <w:rsid w:val="1B0804AD"/>
    <w:rsid w:val="1B081DD1"/>
    <w:rsid w:val="1B4B4633"/>
    <w:rsid w:val="1BE0699B"/>
    <w:rsid w:val="1C343684"/>
    <w:rsid w:val="1C373956"/>
    <w:rsid w:val="1C6028E1"/>
    <w:rsid w:val="1C9C2C8D"/>
    <w:rsid w:val="1CB208B9"/>
    <w:rsid w:val="1CC96196"/>
    <w:rsid w:val="1CEE3F6F"/>
    <w:rsid w:val="1CF71A56"/>
    <w:rsid w:val="1CFC1F75"/>
    <w:rsid w:val="1D2438AE"/>
    <w:rsid w:val="1D563D7A"/>
    <w:rsid w:val="1D9745EA"/>
    <w:rsid w:val="1D9B40FF"/>
    <w:rsid w:val="1E0B5CB9"/>
    <w:rsid w:val="1E8968B1"/>
    <w:rsid w:val="1EB37DB8"/>
    <w:rsid w:val="1EC61668"/>
    <w:rsid w:val="1ECE6752"/>
    <w:rsid w:val="1EEE476B"/>
    <w:rsid w:val="1FA0025F"/>
    <w:rsid w:val="1FB27AF7"/>
    <w:rsid w:val="1FB611B2"/>
    <w:rsid w:val="2093288A"/>
    <w:rsid w:val="209930F5"/>
    <w:rsid w:val="20D83FDB"/>
    <w:rsid w:val="21395462"/>
    <w:rsid w:val="21905613"/>
    <w:rsid w:val="21964052"/>
    <w:rsid w:val="21B917DE"/>
    <w:rsid w:val="220D2529"/>
    <w:rsid w:val="22532A3B"/>
    <w:rsid w:val="231A5CDF"/>
    <w:rsid w:val="233A3198"/>
    <w:rsid w:val="23522EE0"/>
    <w:rsid w:val="23E73697"/>
    <w:rsid w:val="241B572A"/>
    <w:rsid w:val="24213425"/>
    <w:rsid w:val="24447127"/>
    <w:rsid w:val="246D206B"/>
    <w:rsid w:val="250572BA"/>
    <w:rsid w:val="251229F0"/>
    <w:rsid w:val="25453858"/>
    <w:rsid w:val="25A40C51"/>
    <w:rsid w:val="25AC7FFE"/>
    <w:rsid w:val="25EF1503"/>
    <w:rsid w:val="26510F30"/>
    <w:rsid w:val="265C2404"/>
    <w:rsid w:val="26941184"/>
    <w:rsid w:val="26E231A6"/>
    <w:rsid w:val="270518B7"/>
    <w:rsid w:val="27065FE4"/>
    <w:rsid w:val="270D14AF"/>
    <w:rsid w:val="27530110"/>
    <w:rsid w:val="27EF2DEC"/>
    <w:rsid w:val="27F14062"/>
    <w:rsid w:val="28090A48"/>
    <w:rsid w:val="281F64BE"/>
    <w:rsid w:val="28361F3E"/>
    <w:rsid w:val="287867F6"/>
    <w:rsid w:val="28AC3A2F"/>
    <w:rsid w:val="2919667A"/>
    <w:rsid w:val="29200E55"/>
    <w:rsid w:val="29700428"/>
    <w:rsid w:val="297D2924"/>
    <w:rsid w:val="29C071C3"/>
    <w:rsid w:val="29E30FF9"/>
    <w:rsid w:val="29F53FF3"/>
    <w:rsid w:val="2A092F86"/>
    <w:rsid w:val="2A0C5774"/>
    <w:rsid w:val="2A1D4EBB"/>
    <w:rsid w:val="2A2226A9"/>
    <w:rsid w:val="2ABA0F3F"/>
    <w:rsid w:val="2B3046DC"/>
    <w:rsid w:val="2B393C0D"/>
    <w:rsid w:val="2B464821"/>
    <w:rsid w:val="2B627A8D"/>
    <w:rsid w:val="2B682634"/>
    <w:rsid w:val="2B9603AF"/>
    <w:rsid w:val="2B9D067B"/>
    <w:rsid w:val="2BA568EF"/>
    <w:rsid w:val="2BFB32BC"/>
    <w:rsid w:val="2C08567E"/>
    <w:rsid w:val="2C4209CD"/>
    <w:rsid w:val="2C4528E5"/>
    <w:rsid w:val="2C557493"/>
    <w:rsid w:val="2D0D422E"/>
    <w:rsid w:val="2D2E199F"/>
    <w:rsid w:val="2D513C78"/>
    <w:rsid w:val="2D982178"/>
    <w:rsid w:val="2DBE6CF2"/>
    <w:rsid w:val="2E02571F"/>
    <w:rsid w:val="2EB47BDF"/>
    <w:rsid w:val="2EB86300"/>
    <w:rsid w:val="2EEA2B1F"/>
    <w:rsid w:val="2F09119B"/>
    <w:rsid w:val="2F1E302B"/>
    <w:rsid w:val="2F801B8D"/>
    <w:rsid w:val="2FA42891"/>
    <w:rsid w:val="2FB745C5"/>
    <w:rsid w:val="2FF90A4A"/>
    <w:rsid w:val="304A266D"/>
    <w:rsid w:val="30DD24A8"/>
    <w:rsid w:val="324D792D"/>
    <w:rsid w:val="32696AEA"/>
    <w:rsid w:val="32927BD6"/>
    <w:rsid w:val="32D3412D"/>
    <w:rsid w:val="32E71B5B"/>
    <w:rsid w:val="32EF7E11"/>
    <w:rsid w:val="330A0DEB"/>
    <w:rsid w:val="331F7D8E"/>
    <w:rsid w:val="33C54305"/>
    <w:rsid w:val="33D22284"/>
    <w:rsid w:val="33DC3A45"/>
    <w:rsid w:val="350F6E62"/>
    <w:rsid w:val="3538644B"/>
    <w:rsid w:val="354D4D8E"/>
    <w:rsid w:val="35AD7368"/>
    <w:rsid w:val="373D59AD"/>
    <w:rsid w:val="375F3EDB"/>
    <w:rsid w:val="37601F30"/>
    <w:rsid w:val="377A37E9"/>
    <w:rsid w:val="37DD41FC"/>
    <w:rsid w:val="388073D4"/>
    <w:rsid w:val="388859FA"/>
    <w:rsid w:val="389D6EB7"/>
    <w:rsid w:val="38A1603D"/>
    <w:rsid w:val="38F81847"/>
    <w:rsid w:val="39090817"/>
    <w:rsid w:val="39147BB8"/>
    <w:rsid w:val="3949023B"/>
    <w:rsid w:val="39B170BD"/>
    <w:rsid w:val="3A200929"/>
    <w:rsid w:val="3A7E322C"/>
    <w:rsid w:val="3A952F84"/>
    <w:rsid w:val="3AF70902"/>
    <w:rsid w:val="3B4E4BF8"/>
    <w:rsid w:val="3BBA6008"/>
    <w:rsid w:val="3BED55FF"/>
    <w:rsid w:val="3C1E2E43"/>
    <w:rsid w:val="3C3259A4"/>
    <w:rsid w:val="3C3D5D8F"/>
    <w:rsid w:val="3C591B47"/>
    <w:rsid w:val="3C966F79"/>
    <w:rsid w:val="3CB06EEE"/>
    <w:rsid w:val="3CCA7C39"/>
    <w:rsid w:val="3CF71FBA"/>
    <w:rsid w:val="3D0E1A54"/>
    <w:rsid w:val="3D995A30"/>
    <w:rsid w:val="3D9A11A7"/>
    <w:rsid w:val="3DC43492"/>
    <w:rsid w:val="3DCF177F"/>
    <w:rsid w:val="3E0760FB"/>
    <w:rsid w:val="3E4E3DA4"/>
    <w:rsid w:val="3E6B7E41"/>
    <w:rsid w:val="3F773146"/>
    <w:rsid w:val="3F891D72"/>
    <w:rsid w:val="3FA114F3"/>
    <w:rsid w:val="3FDD1520"/>
    <w:rsid w:val="401D21A5"/>
    <w:rsid w:val="40FA7348"/>
    <w:rsid w:val="4162348A"/>
    <w:rsid w:val="41D903A6"/>
    <w:rsid w:val="41E73C8C"/>
    <w:rsid w:val="42B10C1B"/>
    <w:rsid w:val="42D06A42"/>
    <w:rsid w:val="42DA4730"/>
    <w:rsid w:val="42E00669"/>
    <w:rsid w:val="4300097E"/>
    <w:rsid w:val="43024D3A"/>
    <w:rsid w:val="43AC22C7"/>
    <w:rsid w:val="44B55B8C"/>
    <w:rsid w:val="44BC6218"/>
    <w:rsid w:val="44CA4898"/>
    <w:rsid w:val="452410CF"/>
    <w:rsid w:val="452A2E1C"/>
    <w:rsid w:val="455F15E0"/>
    <w:rsid w:val="458D4EF7"/>
    <w:rsid w:val="462D506F"/>
    <w:rsid w:val="4655799E"/>
    <w:rsid w:val="46584569"/>
    <w:rsid w:val="466E717B"/>
    <w:rsid w:val="46916F21"/>
    <w:rsid w:val="469C26A4"/>
    <w:rsid w:val="46D72595"/>
    <w:rsid w:val="46ED1110"/>
    <w:rsid w:val="46F31B5E"/>
    <w:rsid w:val="480706C3"/>
    <w:rsid w:val="48235E88"/>
    <w:rsid w:val="48633CFA"/>
    <w:rsid w:val="487D4EBC"/>
    <w:rsid w:val="48881E51"/>
    <w:rsid w:val="48E154AA"/>
    <w:rsid w:val="490C0653"/>
    <w:rsid w:val="497554AC"/>
    <w:rsid w:val="498F6F2D"/>
    <w:rsid w:val="49A80FC0"/>
    <w:rsid w:val="49E80A52"/>
    <w:rsid w:val="4AB85B61"/>
    <w:rsid w:val="4BD311F7"/>
    <w:rsid w:val="4BE57C56"/>
    <w:rsid w:val="4C587D7B"/>
    <w:rsid w:val="4CF94CB5"/>
    <w:rsid w:val="4D5F5BF9"/>
    <w:rsid w:val="4D681D50"/>
    <w:rsid w:val="4E03403F"/>
    <w:rsid w:val="4E2C627F"/>
    <w:rsid w:val="4EC87932"/>
    <w:rsid w:val="4EDB0C4B"/>
    <w:rsid w:val="4F8845A9"/>
    <w:rsid w:val="4FA04F1B"/>
    <w:rsid w:val="4FB35E6A"/>
    <w:rsid w:val="4FC75D56"/>
    <w:rsid w:val="4FD91FBD"/>
    <w:rsid w:val="50215830"/>
    <w:rsid w:val="503A05C5"/>
    <w:rsid w:val="50557C65"/>
    <w:rsid w:val="509E5740"/>
    <w:rsid w:val="50BE6EEA"/>
    <w:rsid w:val="510B19B3"/>
    <w:rsid w:val="512053AA"/>
    <w:rsid w:val="51217446"/>
    <w:rsid w:val="51257760"/>
    <w:rsid w:val="51326ECC"/>
    <w:rsid w:val="514E24AE"/>
    <w:rsid w:val="518C5DDD"/>
    <w:rsid w:val="520F3067"/>
    <w:rsid w:val="52714C12"/>
    <w:rsid w:val="53550CF3"/>
    <w:rsid w:val="537D6EC2"/>
    <w:rsid w:val="538022A6"/>
    <w:rsid w:val="53802639"/>
    <w:rsid w:val="53C66716"/>
    <w:rsid w:val="5439258F"/>
    <w:rsid w:val="544D6B81"/>
    <w:rsid w:val="550E1E2C"/>
    <w:rsid w:val="554575F2"/>
    <w:rsid w:val="55692F78"/>
    <w:rsid w:val="55A30079"/>
    <w:rsid w:val="56222410"/>
    <w:rsid w:val="56672086"/>
    <w:rsid w:val="56AB0D99"/>
    <w:rsid w:val="572C0568"/>
    <w:rsid w:val="577F18A1"/>
    <w:rsid w:val="579162B7"/>
    <w:rsid w:val="57B82A95"/>
    <w:rsid w:val="57C6704E"/>
    <w:rsid w:val="57EA1A52"/>
    <w:rsid w:val="584058C3"/>
    <w:rsid w:val="586821C2"/>
    <w:rsid w:val="586A3329"/>
    <w:rsid w:val="58CB623A"/>
    <w:rsid w:val="58DF6BD3"/>
    <w:rsid w:val="59A05A73"/>
    <w:rsid w:val="5A4A4739"/>
    <w:rsid w:val="5AA07206"/>
    <w:rsid w:val="5AB476AA"/>
    <w:rsid w:val="5ACE1986"/>
    <w:rsid w:val="5AE3420E"/>
    <w:rsid w:val="5B330146"/>
    <w:rsid w:val="5B347E2E"/>
    <w:rsid w:val="5B8855C9"/>
    <w:rsid w:val="5B8C14C9"/>
    <w:rsid w:val="5BC921B2"/>
    <w:rsid w:val="5BF00282"/>
    <w:rsid w:val="5C704C70"/>
    <w:rsid w:val="5CB7757A"/>
    <w:rsid w:val="5CFF2B7B"/>
    <w:rsid w:val="5D352449"/>
    <w:rsid w:val="5E537717"/>
    <w:rsid w:val="5FA46EF9"/>
    <w:rsid w:val="5FED5ECC"/>
    <w:rsid w:val="60051F28"/>
    <w:rsid w:val="602018FF"/>
    <w:rsid w:val="603D61AD"/>
    <w:rsid w:val="605820E5"/>
    <w:rsid w:val="60803F49"/>
    <w:rsid w:val="609016BB"/>
    <w:rsid w:val="61224B26"/>
    <w:rsid w:val="61752BD6"/>
    <w:rsid w:val="61772CD3"/>
    <w:rsid w:val="618E5A09"/>
    <w:rsid w:val="61C35A89"/>
    <w:rsid w:val="61EA1C19"/>
    <w:rsid w:val="62B87BAF"/>
    <w:rsid w:val="62EB0630"/>
    <w:rsid w:val="6412064A"/>
    <w:rsid w:val="6424713B"/>
    <w:rsid w:val="646322ED"/>
    <w:rsid w:val="64787368"/>
    <w:rsid w:val="648806EB"/>
    <w:rsid w:val="648C4B97"/>
    <w:rsid w:val="64B535D4"/>
    <w:rsid w:val="64CD572C"/>
    <w:rsid w:val="65385CFE"/>
    <w:rsid w:val="66842F59"/>
    <w:rsid w:val="66A23467"/>
    <w:rsid w:val="66D513D3"/>
    <w:rsid w:val="66D8043C"/>
    <w:rsid w:val="66ED2204"/>
    <w:rsid w:val="66FE648A"/>
    <w:rsid w:val="678069DE"/>
    <w:rsid w:val="67C211DF"/>
    <w:rsid w:val="67C818E1"/>
    <w:rsid w:val="67CF1382"/>
    <w:rsid w:val="67D53EC8"/>
    <w:rsid w:val="67FD341E"/>
    <w:rsid w:val="68093B71"/>
    <w:rsid w:val="681B5FB5"/>
    <w:rsid w:val="68226D1A"/>
    <w:rsid w:val="682867E9"/>
    <w:rsid w:val="68432571"/>
    <w:rsid w:val="6880065C"/>
    <w:rsid w:val="68EA0CF5"/>
    <w:rsid w:val="68F95A7C"/>
    <w:rsid w:val="69166AF3"/>
    <w:rsid w:val="693C1A40"/>
    <w:rsid w:val="698D0AD5"/>
    <w:rsid w:val="69BF4E5A"/>
    <w:rsid w:val="6A2C36F6"/>
    <w:rsid w:val="6AA2012D"/>
    <w:rsid w:val="6AD379FB"/>
    <w:rsid w:val="6B574BF4"/>
    <w:rsid w:val="6B6D0D41"/>
    <w:rsid w:val="6B8758FD"/>
    <w:rsid w:val="6C0A3D00"/>
    <w:rsid w:val="6C1A645E"/>
    <w:rsid w:val="6CA65E33"/>
    <w:rsid w:val="6DBD4530"/>
    <w:rsid w:val="6E143D23"/>
    <w:rsid w:val="6E502696"/>
    <w:rsid w:val="6E723DFF"/>
    <w:rsid w:val="6E81409B"/>
    <w:rsid w:val="6EB0264B"/>
    <w:rsid w:val="6F1636F9"/>
    <w:rsid w:val="6F9D1F32"/>
    <w:rsid w:val="6FA23A3B"/>
    <w:rsid w:val="6FDA0D94"/>
    <w:rsid w:val="6FFB0111"/>
    <w:rsid w:val="703C39A4"/>
    <w:rsid w:val="705600ED"/>
    <w:rsid w:val="711848CD"/>
    <w:rsid w:val="71291214"/>
    <w:rsid w:val="71646F7A"/>
    <w:rsid w:val="719E1BBB"/>
    <w:rsid w:val="71B447A2"/>
    <w:rsid w:val="71C37338"/>
    <w:rsid w:val="71DA5C85"/>
    <w:rsid w:val="71F8764A"/>
    <w:rsid w:val="72522B18"/>
    <w:rsid w:val="726E50D7"/>
    <w:rsid w:val="72CF6A3F"/>
    <w:rsid w:val="72D33637"/>
    <w:rsid w:val="72E07D3F"/>
    <w:rsid w:val="73AB40C0"/>
    <w:rsid w:val="73AC1DCA"/>
    <w:rsid w:val="73B3034C"/>
    <w:rsid w:val="740F2710"/>
    <w:rsid w:val="7483371A"/>
    <w:rsid w:val="74855805"/>
    <w:rsid w:val="74933308"/>
    <w:rsid w:val="74A7449A"/>
    <w:rsid w:val="74C95EE3"/>
    <w:rsid w:val="752E251A"/>
    <w:rsid w:val="759C674A"/>
    <w:rsid w:val="75A8653F"/>
    <w:rsid w:val="75C745D0"/>
    <w:rsid w:val="76034A88"/>
    <w:rsid w:val="76520A25"/>
    <w:rsid w:val="76E3347C"/>
    <w:rsid w:val="76FC438E"/>
    <w:rsid w:val="7758584F"/>
    <w:rsid w:val="77616724"/>
    <w:rsid w:val="77826DC9"/>
    <w:rsid w:val="77C41863"/>
    <w:rsid w:val="77F10DAE"/>
    <w:rsid w:val="780948F3"/>
    <w:rsid w:val="78636F73"/>
    <w:rsid w:val="7A134DAD"/>
    <w:rsid w:val="7A257B2A"/>
    <w:rsid w:val="7A6F5207"/>
    <w:rsid w:val="7A756DC3"/>
    <w:rsid w:val="7AD34318"/>
    <w:rsid w:val="7B146534"/>
    <w:rsid w:val="7B2E0723"/>
    <w:rsid w:val="7B381677"/>
    <w:rsid w:val="7B3B0239"/>
    <w:rsid w:val="7B5D64DF"/>
    <w:rsid w:val="7C177593"/>
    <w:rsid w:val="7C1D3D35"/>
    <w:rsid w:val="7C810B4D"/>
    <w:rsid w:val="7C8D6CD1"/>
    <w:rsid w:val="7CC23077"/>
    <w:rsid w:val="7CE72B77"/>
    <w:rsid w:val="7D136825"/>
    <w:rsid w:val="7D551D85"/>
    <w:rsid w:val="7D713491"/>
    <w:rsid w:val="7D827ECF"/>
    <w:rsid w:val="7D887B5A"/>
    <w:rsid w:val="7DA63E2E"/>
    <w:rsid w:val="7DAC70B2"/>
    <w:rsid w:val="7E1C1866"/>
    <w:rsid w:val="7E2F2D21"/>
    <w:rsid w:val="7E390304"/>
    <w:rsid w:val="7E733FC2"/>
    <w:rsid w:val="7EBE333C"/>
    <w:rsid w:val="7EFC7A07"/>
    <w:rsid w:val="7F205BDD"/>
    <w:rsid w:val="7F441161"/>
    <w:rsid w:val="7FA27D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9"/>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0"/>
    <w:qFormat/>
    <w:uiPriority w:val="0"/>
    <w:pPr>
      <w:keepNext/>
      <w:keepLines/>
      <w:spacing w:before="260" w:after="260" w:line="416" w:lineRule="auto"/>
      <w:outlineLvl w:val="2"/>
    </w:pPr>
    <w:rPr>
      <w:b/>
      <w:bCs/>
      <w:sz w:val="32"/>
      <w:szCs w:val="32"/>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2520" w:leftChars="1200"/>
    </w:pPr>
    <w:rPr>
      <w:rFonts w:asciiTheme="minorHAnsi" w:hAnsiTheme="minorHAnsi" w:eastAsiaTheme="minorEastAsia" w:cstheme="minorBidi"/>
      <w:szCs w:val="22"/>
    </w:rPr>
  </w:style>
  <w:style w:type="paragraph" w:styleId="6">
    <w:name w:val="Document Map"/>
    <w:basedOn w:val="1"/>
    <w:link w:val="46"/>
    <w:semiHidden/>
    <w:qFormat/>
    <w:uiPriority w:val="0"/>
    <w:pPr>
      <w:shd w:val="clear" w:color="auto" w:fill="000080"/>
    </w:pPr>
  </w:style>
  <w:style w:type="paragraph" w:styleId="7">
    <w:name w:val="Body Text Indent"/>
    <w:basedOn w:val="1"/>
    <w:link w:val="44"/>
    <w:qFormat/>
    <w:uiPriority w:val="0"/>
    <w:pPr>
      <w:ind w:firstLine="358" w:firstLineChars="112"/>
    </w:pPr>
    <w:rPr>
      <w:sz w:val="32"/>
    </w:rPr>
  </w:style>
  <w:style w:type="paragraph" w:styleId="8">
    <w:name w:val="toc 5"/>
    <w:basedOn w:val="1"/>
    <w:next w:val="1"/>
    <w:unhideWhenUsed/>
    <w:qFormat/>
    <w:uiPriority w:val="39"/>
    <w:pPr>
      <w:ind w:left="1680" w:leftChars="800"/>
    </w:pPr>
    <w:rPr>
      <w:rFonts w:asciiTheme="minorHAnsi" w:hAnsiTheme="minorHAnsi" w:eastAsiaTheme="minorEastAsia" w:cstheme="minorBidi"/>
      <w:szCs w:val="22"/>
    </w:rPr>
  </w:style>
  <w:style w:type="paragraph" w:styleId="9">
    <w:name w:val="toc 3"/>
    <w:basedOn w:val="1"/>
    <w:next w:val="1"/>
    <w:unhideWhenUsed/>
    <w:qFormat/>
    <w:uiPriority w:val="39"/>
    <w:pPr>
      <w:ind w:left="840" w:leftChars="400"/>
    </w:pPr>
  </w:style>
  <w:style w:type="paragraph" w:styleId="10">
    <w:name w:val="Plain Text"/>
    <w:basedOn w:val="1"/>
    <w:qFormat/>
    <w:uiPriority w:val="0"/>
    <w:rPr>
      <w:rFonts w:ascii="宋体" w:hAnsi="Courier New"/>
      <w:sz w:val="28"/>
      <w:szCs w:val="20"/>
    </w:rPr>
  </w:style>
  <w:style w:type="paragraph" w:styleId="11">
    <w:name w:val="toc 8"/>
    <w:basedOn w:val="1"/>
    <w:next w:val="1"/>
    <w:unhideWhenUsed/>
    <w:qFormat/>
    <w:uiPriority w:val="39"/>
    <w:pPr>
      <w:ind w:left="2940" w:leftChars="1400"/>
    </w:pPr>
    <w:rPr>
      <w:rFonts w:asciiTheme="minorHAnsi" w:hAnsiTheme="minorHAnsi" w:eastAsiaTheme="minorEastAsia" w:cstheme="minorBidi"/>
      <w:szCs w:val="22"/>
    </w:rPr>
  </w:style>
  <w:style w:type="paragraph" w:styleId="12">
    <w:name w:val="Body Text Indent 2"/>
    <w:basedOn w:val="1"/>
    <w:link w:val="45"/>
    <w:qFormat/>
    <w:uiPriority w:val="0"/>
    <w:pPr>
      <w:ind w:firstLine="640" w:firstLineChars="200"/>
    </w:pPr>
    <w:rPr>
      <w:sz w:val="32"/>
    </w:rPr>
  </w:style>
  <w:style w:type="paragraph" w:styleId="13">
    <w:name w:val="Balloon Text"/>
    <w:basedOn w:val="1"/>
    <w:link w:val="37"/>
    <w:unhideWhenUsed/>
    <w:qFormat/>
    <w:uiPriority w:val="0"/>
    <w:rPr>
      <w:sz w:val="18"/>
      <w:szCs w:val="18"/>
    </w:rPr>
  </w:style>
  <w:style w:type="paragraph" w:styleId="14">
    <w:name w:val="footer"/>
    <w:basedOn w:val="1"/>
    <w:link w:val="41"/>
    <w:qFormat/>
    <w:uiPriority w:val="99"/>
    <w:pPr>
      <w:tabs>
        <w:tab w:val="center" w:pos="4153"/>
        <w:tab w:val="right" w:pos="8306"/>
      </w:tabs>
      <w:snapToGrid w:val="0"/>
      <w:jc w:val="left"/>
    </w:pPr>
    <w:rPr>
      <w:sz w:val="18"/>
      <w:szCs w:val="18"/>
    </w:rPr>
  </w:style>
  <w:style w:type="paragraph" w:styleId="15">
    <w:name w:val="header"/>
    <w:basedOn w:val="1"/>
    <w:link w:val="42"/>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toc 4"/>
    <w:basedOn w:val="1"/>
    <w:next w:val="1"/>
    <w:unhideWhenUsed/>
    <w:qFormat/>
    <w:uiPriority w:val="39"/>
    <w:pPr>
      <w:ind w:left="1260" w:leftChars="600"/>
    </w:pPr>
    <w:rPr>
      <w:rFonts w:asciiTheme="minorHAnsi" w:hAnsiTheme="minorHAnsi" w:eastAsiaTheme="minorEastAsia" w:cstheme="minorBidi"/>
      <w:szCs w:val="22"/>
    </w:rPr>
  </w:style>
  <w:style w:type="paragraph" w:styleId="18">
    <w:name w:val="toc 6"/>
    <w:basedOn w:val="1"/>
    <w:next w:val="1"/>
    <w:unhideWhenUsed/>
    <w:qFormat/>
    <w:uiPriority w:val="39"/>
    <w:pPr>
      <w:ind w:left="2100" w:leftChars="1000"/>
    </w:pPr>
    <w:rPr>
      <w:rFonts w:asciiTheme="minorHAnsi" w:hAnsiTheme="minorHAnsi" w:eastAsiaTheme="minorEastAsia" w:cstheme="minorBidi"/>
      <w:szCs w:val="22"/>
    </w:rPr>
  </w:style>
  <w:style w:type="paragraph" w:styleId="19">
    <w:name w:val="toc 2"/>
    <w:basedOn w:val="1"/>
    <w:next w:val="1"/>
    <w:unhideWhenUsed/>
    <w:qFormat/>
    <w:uiPriority w:val="39"/>
    <w:pPr>
      <w:ind w:left="420" w:leftChars="200"/>
    </w:pPr>
  </w:style>
  <w:style w:type="paragraph" w:styleId="20">
    <w:name w:val="toc 9"/>
    <w:basedOn w:val="1"/>
    <w:next w:val="1"/>
    <w:unhideWhenUsed/>
    <w:qFormat/>
    <w:uiPriority w:val="39"/>
    <w:pPr>
      <w:ind w:left="3360" w:leftChars="1600"/>
    </w:pPr>
    <w:rPr>
      <w:rFonts w:asciiTheme="minorHAnsi" w:hAnsiTheme="minorHAnsi" w:eastAsiaTheme="minorEastAsia" w:cstheme="minorBidi"/>
      <w:szCs w:val="22"/>
    </w:rPr>
  </w:style>
  <w:style w:type="paragraph" w:styleId="21">
    <w:name w:val="Normal (Web)"/>
    <w:basedOn w:val="1"/>
    <w:unhideWhenUsed/>
    <w:qFormat/>
    <w:uiPriority w:val="99"/>
    <w:pPr>
      <w:widowControl/>
      <w:spacing w:before="100" w:beforeAutospacing="1" w:after="100" w:afterAutospacing="1" w:line="494" w:lineRule="atLeast"/>
      <w:jc w:val="left"/>
    </w:pPr>
    <w:rPr>
      <w:rFonts w:ascii="宋体" w:hAnsi="宋体" w:cs="宋体"/>
      <w:color w:val="000000"/>
      <w:kern w:val="0"/>
      <w:sz w:val="22"/>
      <w:szCs w:val="22"/>
    </w:rPr>
  </w:style>
  <w:style w:type="paragraph" w:styleId="22">
    <w:name w:val="Title"/>
    <w:basedOn w:val="1"/>
    <w:next w:val="1"/>
    <w:qFormat/>
    <w:uiPriority w:val="10"/>
    <w:pPr>
      <w:spacing w:before="240" w:after="60"/>
      <w:jc w:val="center"/>
      <w:outlineLvl w:val="0"/>
    </w:pPr>
    <w:rPr>
      <w:rFonts w:ascii="Cambria" w:hAnsi="Cambria"/>
      <w:b/>
      <w:bCs/>
      <w:sz w:val="32"/>
      <w:szCs w:val="32"/>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qFormat/>
    <w:uiPriority w:val="22"/>
    <w:rPr>
      <w:b/>
    </w:rPr>
  </w:style>
  <w:style w:type="character" w:styleId="27">
    <w:name w:val="page number"/>
    <w:basedOn w:val="25"/>
    <w:qFormat/>
    <w:uiPriority w:val="0"/>
  </w:style>
  <w:style w:type="character" w:styleId="28">
    <w:name w:val="FollowedHyperlink"/>
    <w:basedOn w:val="25"/>
    <w:unhideWhenUsed/>
    <w:qFormat/>
    <w:uiPriority w:val="99"/>
    <w:rPr>
      <w:color w:val="0000CC"/>
      <w:sz w:val="22"/>
      <w:szCs w:val="22"/>
      <w:u w:val="single"/>
    </w:rPr>
  </w:style>
  <w:style w:type="character" w:styleId="29">
    <w:name w:val="Emphasis"/>
    <w:basedOn w:val="25"/>
    <w:qFormat/>
    <w:uiPriority w:val="20"/>
  </w:style>
  <w:style w:type="character" w:styleId="30">
    <w:name w:val="HTML Definition"/>
    <w:basedOn w:val="25"/>
    <w:semiHidden/>
    <w:unhideWhenUsed/>
    <w:qFormat/>
    <w:uiPriority w:val="99"/>
  </w:style>
  <w:style w:type="character" w:styleId="31">
    <w:name w:val="HTML Variable"/>
    <w:basedOn w:val="25"/>
    <w:semiHidden/>
    <w:unhideWhenUsed/>
    <w:qFormat/>
    <w:uiPriority w:val="99"/>
  </w:style>
  <w:style w:type="character" w:styleId="32">
    <w:name w:val="Hyperlink"/>
    <w:basedOn w:val="25"/>
    <w:qFormat/>
    <w:uiPriority w:val="99"/>
    <w:rPr>
      <w:color w:val="136EC2"/>
      <w:u w:val="single"/>
    </w:rPr>
  </w:style>
  <w:style w:type="character" w:styleId="33">
    <w:name w:val="HTML Code"/>
    <w:basedOn w:val="25"/>
    <w:semiHidden/>
    <w:unhideWhenUsed/>
    <w:qFormat/>
    <w:uiPriority w:val="99"/>
    <w:rPr>
      <w:rFonts w:hint="default" w:ascii="serif" w:hAnsi="serif" w:eastAsia="serif" w:cs="serif"/>
      <w:sz w:val="21"/>
      <w:szCs w:val="21"/>
    </w:rPr>
  </w:style>
  <w:style w:type="character" w:styleId="34">
    <w:name w:val="HTML Cite"/>
    <w:basedOn w:val="25"/>
    <w:semiHidden/>
    <w:unhideWhenUsed/>
    <w:qFormat/>
    <w:uiPriority w:val="99"/>
  </w:style>
  <w:style w:type="character" w:styleId="35">
    <w:name w:val="HTML Keyboard"/>
    <w:basedOn w:val="25"/>
    <w:semiHidden/>
    <w:unhideWhenUsed/>
    <w:qFormat/>
    <w:uiPriority w:val="99"/>
    <w:rPr>
      <w:rFonts w:ascii="serif" w:hAnsi="serif" w:eastAsia="serif" w:cs="serif"/>
      <w:sz w:val="21"/>
      <w:szCs w:val="21"/>
    </w:rPr>
  </w:style>
  <w:style w:type="character" w:styleId="36">
    <w:name w:val="HTML Sample"/>
    <w:basedOn w:val="25"/>
    <w:semiHidden/>
    <w:unhideWhenUsed/>
    <w:qFormat/>
    <w:uiPriority w:val="99"/>
    <w:rPr>
      <w:rFonts w:hint="default" w:ascii="serif" w:hAnsi="serif" w:eastAsia="serif" w:cs="serif"/>
      <w:sz w:val="21"/>
      <w:szCs w:val="21"/>
    </w:rPr>
  </w:style>
  <w:style w:type="character" w:customStyle="1" w:styleId="37">
    <w:name w:val="批注框文本 Char"/>
    <w:basedOn w:val="25"/>
    <w:link w:val="13"/>
    <w:qFormat/>
    <w:uiPriority w:val="0"/>
    <w:rPr>
      <w:sz w:val="18"/>
      <w:szCs w:val="18"/>
    </w:rPr>
  </w:style>
  <w:style w:type="character" w:customStyle="1" w:styleId="38">
    <w:name w:val="标题 1 Char"/>
    <w:basedOn w:val="25"/>
    <w:link w:val="2"/>
    <w:qFormat/>
    <w:uiPriority w:val="0"/>
    <w:rPr>
      <w:rFonts w:ascii="Times New Roman" w:hAnsi="Times New Roman" w:eastAsia="宋体" w:cs="Times New Roman"/>
      <w:b/>
      <w:bCs/>
      <w:kern w:val="44"/>
      <w:sz w:val="44"/>
      <w:szCs w:val="44"/>
    </w:rPr>
  </w:style>
  <w:style w:type="character" w:customStyle="1" w:styleId="39">
    <w:name w:val="标题 2 Char"/>
    <w:basedOn w:val="25"/>
    <w:link w:val="3"/>
    <w:qFormat/>
    <w:uiPriority w:val="0"/>
    <w:rPr>
      <w:rFonts w:ascii="Arial" w:hAnsi="Arial" w:eastAsia="黑体" w:cs="Times New Roman"/>
      <w:b/>
      <w:bCs/>
      <w:sz w:val="32"/>
      <w:szCs w:val="32"/>
    </w:rPr>
  </w:style>
  <w:style w:type="character" w:customStyle="1" w:styleId="40">
    <w:name w:val="标题 3 Char"/>
    <w:basedOn w:val="25"/>
    <w:link w:val="4"/>
    <w:qFormat/>
    <w:uiPriority w:val="0"/>
    <w:rPr>
      <w:rFonts w:ascii="Times New Roman" w:hAnsi="Times New Roman" w:eastAsia="宋体" w:cs="Times New Roman"/>
      <w:b/>
      <w:bCs/>
      <w:sz w:val="32"/>
      <w:szCs w:val="32"/>
    </w:rPr>
  </w:style>
  <w:style w:type="character" w:customStyle="1" w:styleId="41">
    <w:name w:val="页脚 Char"/>
    <w:basedOn w:val="25"/>
    <w:link w:val="14"/>
    <w:qFormat/>
    <w:uiPriority w:val="99"/>
    <w:rPr>
      <w:rFonts w:ascii="Times New Roman" w:hAnsi="Times New Roman" w:eastAsia="宋体" w:cs="Times New Roman"/>
      <w:sz w:val="18"/>
      <w:szCs w:val="18"/>
    </w:rPr>
  </w:style>
  <w:style w:type="character" w:customStyle="1" w:styleId="42">
    <w:name w:val="页眉 Char"/>
    <w:basedOn w:val="25"/>
    <w:link w:val="15"/>
    <w:qFormat/>
    <w:uiPriority w:val="99"/>
    <w:rPr>
      <w:rFonts w:ascii="Times New Roman" w:hAnsi="Times New Roman" w:eastAsia="宋体" w:cs="Times New Roman"/>
      <w:sz w:val="18"/>
      <w:szCs w:val="18"/>
    </w:rPr>
  </w:style>
  <w:style w:type="paragraph" w:customStyle="1" w:styleId="43">
    <w:name w:val="MTDisplayEquation"/>
    <w:basedOn w:val="1"/>
    <w:next w:val="1"/>
    <w:qFormat/>
    <w:uiPriority w:val="0"/>
    <w:pPr>
      <w:tabs>
        <w:tab w:val="center" w:pos="10480"/>
        <w:tab w:val="right" w:pos="20940"/>
      </w:tabs>
    </w:pPr>
  </w:style>
  <w:style w:type="character" w:customStyle="1" w:styleId="44">
    <w:name w:val="正文文本缩进 Char"/>
    <w:basedOn w:val="25"/>
    <w:link w:val="7"/>
    <w:qFormat/>
    <w:uiPriority w:val="0"/>
    <w:rPr>
      <w:rFonts w:ascii="Times New Roman" w:hAnsi="Times New Roman" w:eastAsia="宋体" w:cs="Times New Roman"/>
      <w:sz w:val="32"/>
      <w:szCs w:val="24"/>
    </w:rPr>
  </w:style>
  <w:style w:type="character" w:customStyle="1" w:styleId="45">
    <w:name w:val="正文文本缩进 2 Char"/>
    <w:basedOn w:val="25"/>
    <w:link w:val="12"/>
    <w:qFormat/>
    <w:uiPriority w:val="0"/>
    <w:rPr>
      <w:rFonts w:ascii="Times New Roman" w:hAnsi="Times New Roman" w:eastAsia="宋体" w:cs="Times New Roman"/>
      <w:sz w:val="32"/>
      <w:szCs w:val="24"/>
    </w:rPr>
  </w:style>
  <w:style w:type="character" w:customStyle="1" w:styleId="46">
    <w:name w:val="文档结构图 Char"/>
    <w:basedOn w:val="25"/>
    <w:link w:val="6"/>
    <w:semiHidden/>
    <w:qFormat/>
    <w:uiPriority w:val="0"/>
    <w:rPr>
      <w:rFonts w:ascii="Times New Roman" w:hAnsi="Times New Roman" w:eastAsia="宋体" w:cs="Times New Roman"/>
      <w:szCs w:val="24"/>
      <w:shd w:val="clear" w:color="auto" w:fill="000080"/>
    </w:rPr>
  </w:style>
  <w:style w:type="paragraph" w:customStyle="1" w:styleId="47">
    <w:name w:val="样式 首行缩进:  2 字符"/>
    <w:basedOn w:val="1"/>
    <w:qFormat/>
    <w:uiPriority w:val="0"/>
    <w:pPr>
      <w:spacing w:line="360" w:lineRule="auto"/>
      <w:ind w:firstLine="200" w:firstLineChars="200"/>
    </w:pPr>
    <w:rPr>
      <w:rFonts w:cs="宋体"/>
      <w:szCs w:val="20"/>
    </w:rPr>
  </w:style>
  <w:style w:type="character" w:customStyle="1" w:styleId="48">
    <w:name w:val="apple-style-span"/>
    <w:basedOn w:val="25"/>
    <w:qFormat/>
    <w:uiPriority w:val="0"/>
  </w:style>
  <w:style w:type="paragraph" w:customStyle="1" w:styleId="49">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
    <w:name w:val="样式 标题 2 + 四号 左 左侧:  0 厘米 悬挂缩进: 4.2 字符 段前: 15 磅 段后: 0 磅 行距:..."/>
    <w:basedOn w:val="3"/>
    <w:qFormat/>
    <w:uiPriority w:val="0"/>
    <w:pPr>
      <w:numPr>
        <w:ilvl w:val="0"/>
        <w:numId w:val="1"/>
      </w:numPr>
      <w:spacing w:before="300" w:after="0" w:line="415" w:lineRule="auto"/>
      <w:jc w:val="left"/>
    </w:pPr>
    <w:rPr>
      <w:rFonts w:cs="宋体"/>
      <w:sz w:val="28"/>
      <w:szCs w:val="20"/>
    </w:rPr>
  </w:style>
  <w:style w:type="paragraph" w:customStyle="1" w:styleId="51">
    <w:name w:val="----"/>
    <w:basedOn w:val="1"/>
    <w:qFormat/>
    <w:uiPriority w:val="0"/>
    <w:pPr>
      <w:adjustRightInd w:val="0"/>
      <w:snapToGrid w:val="0"/>
      <w:spacing w:before="120" w:after="120" w:line="360" w:lineRule="auto"/>
      <w:ind w:left="202" w:leftChars="202" w:right="-113" w:rightChars="-113" w:hanging="720" w:hangingChars="300"/>
    </w:pPr>
    <w:rPr>
      <w:rFonts w:ascii="宋体" w:hAnsi="宋体"/>
      <w:color w:val="000000"/>
      <w:sz w:val="24"/>
    </w:rPr>
  </w:style>
  <w:style w:type="paragraph" w:customStyle="1" w:styleId="52">
    <w:name w:val="无间隔2"/>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53">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54">
    <w:name w:val="p0"/>
    <w:basedOn w:val="1"/>
    <w:qFormat/>
    <w:uiPriority w:val="0"/>
    <w:pPr>
      <w:widowControl/>
    </w:pPr>
    <w:rPr>
      <w:kern w:val="0"/>
      <w:szCs w:val="21"/>
    </w:rPr>
  </w:style>
  <w:style w:type="paragraph" w:customStyle="1" w:styleId="55">
    <w:name w:val="WPSOffice手动目录 1"/>
    <w:qFormat/>
    <w:uiPriority w:val="0"/>
    <w:rPr>
      <w:rFonts w:ascii="Times New Roman" w:hAnsi="Times New Roman" w:eastAsia="宋体" w:cs="Times New Roman"/>
      <w:lang w:val="en-US" w:eastAsia="zh-CN" w:bidi="ar-SA"/>
    </w:rPr>
  </w:style>
  <w:style w:type="paragraph" w:customStyle="1" w:styleId="5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57">
    <w:name w:val="fontborder"/>
    <w:basedOn w:val="25"/>
    <w:qFormat/>
    <w:uiPriority w:val="0"/>
    <w:rPr>
      <w:bdr w:val="single" w:color="000000" w:sz="6" w:space="0"/>
    </w:rPr>
  </w:style>
  <w:style w:type="character" w:customStyle="1" w:styleId="58">
    <w:name w:val="fontstrikethrough"/>
    <w:basedOn w:val="25"/>
    <w:qFormat/>
    <w:uiPriority w:val="0"/>
    <w:rPr>
      <w:strike/>
    </w:rPr>
  </w:style>
  <w:style w:type="paragraph" w:customStyle="1" w:styleId="59">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60">
    <w:name w:val="style71"/>
    <w:basedOn w:val="25"/>
    <w:qFormat/>
    <w:uiPriority w:val="0"/>
    <w:rPr>
      <w:sz w:val="30"/>
      <w:szCs w:val="30"/>
    </w:rPr>
  </w:style>
  <w:style w:type="character" w:customStyle="1" w:styleId="61">
    <w:name w:val="style81"/>
    <w:basedOn w:val="25"/>
    <w:qFormat/>
    <w:uiPriority w:val="0"/>
    <w:rPr>
      <w:sz w:val="30"/>
      <w:szCs w:val="30"/>
    </w:rPr>
  </w:style>
  <w:style w:type="paragraph" w:customStyle="1" w:styleId="62">
    <w:name w:val="style6"/>
    <w:basedOn w:val="1"/>
    <w:qFormat/>
    <w:uiPriority w:val="0"/>
    <w:pPr>
      <w:widowControl/>
      <w:spacing w:before="100" w:beforeAutospacing="1" w:after="100" w:afterAutospacing="1" w:line="330" w:lineRule="atLeast"/>
      <w:jc w:val="left"/>
    </w:pPr>
    <w:rPr>
      <w:rFonts w:ascii="宋体" w:hAnsi="宋体" w:cs="宋体"/>
      <w:color w:val="000000"/>
      <w:kern w:val="0"/>
      <w:sz w:val="30"/>
      <w:szCs w:val="30"/>
    </w:rPr>
  </w:style>
  <w:style w:type="paragraph" w:customStyle="1" w:styleId="63">
    <w:name w:val="列出段落1"/>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35</Pages>
  <Words>26237</Words>
  <Characters>29492</Characters>
  <Lines>268</Lines>
  <Paragraphs>75</Paragraphs>
  <TotalTime>12</TotalTime>
  <ScaleCrop>false</ScaleCrop>
  <LinksUpToDate>false</LinksUpToDate>
  <CharactersWithSpaces>32555</CharactersWithSpaces>
  <Application>WPS Office_11.8.6.11020_F1E327BC-269C-435d-A152-05C5408002CA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2022-04-06T06:29:00Z</dcterms:created>
  <dc:creator>MSI</dc:creator>
  <cp:lastModifiedBy>杨梅</cp:lastModifiedBy>
  <dcterms:modified xsi:type="dcterms:W3CDTF">2023-09-01T07:58:57Z</dcterms:modified>
  <dc:title>大理市古城农贸市场农改超提升改造项目</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KSORubyTemplateID" linkTarget="0">
    <vt:lpwstr>6</vt:lpwstr>
  </property>
  <property fmtid="{D5CDD505-2E9C-101B-9397-08002B2CF9AE}" pid="4" name="ICV">
    <vt:lpwstr>1C65F38C7FE641C38C40F2D6322AC030</vt:lpwstr>
  </property>
</Properties>
</file>